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7C" w:rsidRPr="00D67D19" w:rsidRDefault="00D67D19" w:rsidP="00D67D19">
      <w:pPr>
        <w:jc w:val="center"/>
        <w:rPr>
          <w:u w:val="double"/>
        </w:rPr>
      </w:pPr>
      <w:r w:rsidRPr="00D67D19">
        <w:rPr>
          <w:rFonts w:hint="eastAsia"/>
          <w:u w:val="double"/>
        </w:rPr>
        <w:t>グアテマラ</w:t>
      </w:r>
      <w:r w:rsidR="001D7A6D">
        <w:rPr>
          <w:rFonts w:hint="eastAsia"/>
          <w:u w:val="double"/>
        </w:rPr>
        <w:t>内政・外交・経済</w:t>
      </w:r>
      <w:r w:rsidRPr="00D67D19">
        <w:rPr>
          <w:rFonts w:hint="eastAsia"/>
          <w:u w:val="double"/>
        </w:rPr>
        <w:t>（</w:t>
      </w:r>
      <w:r w:rsidRPr="00D67D19">
        <w:rPr>
          <w:rFonts w:hint="eastAsia"/>
          <w:u w:val="double"/>
        </w:rPr>
        <w:t>2014</w:t>
      </w:r>
      <w:r w:rsidRPr="00D67D19">
        <w:rPr>
          <w:rFonts w:hint="eastAsia"/>
          <w:u w:val="double"/>
        </w:rPr>
        <w:t>年</w:t>
      </w:r>
      <w:r w:rsidR="00817B46">
        <w:rPr>
          <w:rFonts w:hint="eastAsia"/>
          <w:u w:val="double"/>
        </w:rPr>
        <w:t>3</w:t>
      </w:r>
      <w:r w:rsidRPr="00D67D19">
        <w:rPr>
          <w:rFonts w:hint="eastAsia"/>
          <w:u w:val="double"/>
        </w:rPr>
        <w:t>月</w:t>
      </w:r>
      <w:r>
        <w:rPr>
          <w:rFonts w:hint="eastAsia"/>
          <w:u w:val="double"/>
        </w:rPr>
        <w:t>）</w:t>
      </w:r>
    </w:p>
    <w:p w:rsidR="001D7A6D" w:rsidRPr="001D7A6D" w:rsidRDefault="001D7A6D">
      <w:pPr>
        <w:rPr>
          <w:rFonts w:hint="eastAsia"/>
          <w:shd w:val="pct15" w:color="auto" w:fill="FFFFFF"/>
        </w:rPr>
      </w:pPr>
      <w:bookmarkStart w:id="0" w:name="_GoBack"/>
      <w:bookmarkEnd w:id="0"/>
    </w:p>
    <w:p w:rsidR="001D7A6D" w:rsidRDefault="001D7A6D">
      <w:pPr>
        <w:rPr>
          <w:rFonts w:hint="eastAsia"/>
          <w:shd w:val="pct15" w:color="auto" w:fill="FFFFFF"/>
        </w:rPr>
      </w:pPr>
    </w:p>
    <w:p w:rsidR="00D67D19" w:rsidRPr="004E5764" w:rsidRDefault="00D67D19">
      <w:pPr>
        <w:rPr>
          <w:shd w:val="pct15" w:color="auto" w:fill="FFFFFF"/>
          <w:lang w:eastAsia="zh-TW"/>
        </w:rPr>
      </w:pPr>
      <w:r w:rsidRPr="004E5764">
        <w:rPr>
          <w:rFonts w:hint="eastAsia"/>
          <w:shd w:val="pct15" w:color="auto" w:fill="FFFFFF"/>
          <w:lang w:eastAsia="zh-TW"/>
        </w:rPr>
        <w:t>１．内政</w:t>
      </w:r>
    </w:p>
    <w:p w:rsidR="004E5764" w:rsidRDefault="00BF46AA" w:rsidP="004E5764">
      <w:pPr>
        <w:rPr>
          <w:lang w:eastAsia="zh-TW"/>
        </w:rPr>
      </w:pPr>
      <w:r>
        <w:rPr>
          <w:rFonts w:hint="eastAsia"/>
          <w:lang w:eastAsia="zh-TW"/>
        </w:rPr>
        <w:t>（</w:t>
      </w:r>
      <w:r w:rsidR="00785EE4">
        <w:rPr>
          <w:rFonts w:hint="eastAsia"/>
          <w:lang w:eastAsia="zh-TW"/>
        </w:rPr>
        <w:t>１</w:t>
      </w:r>
      <w:r>
        <w:rPr>
          <w:rFonts w:hint="eastAsia"/>
          <w:lang w:eastAsia="zh-TW"/>
        </w:rPr>
        <w:t>）</w:t>
      </w:r>
      <w:r w:rsidR="00DB5C60">
        <w:rPr>
          <w:rFonts w:hint="eastAsia"/>
          <w:lang w:eastAsia="zh-TW"/>
        </w:rPr>
        <w:t>次期検事総長候補</w:t>
      </w:r>
    </w:p>
    <w:p w:rsidR="00DB5C60" w:rsidRDefault="00DB5C60" w:rsidP="004E5764">
      <w:r>
        <w:rPr>
          <w:rFonts w:hint="eastAsia"/>
          <w:lang w:eastAsia="zh-TW"/>
        </w:rPr>
        <w:t xml:space="preserve">　</w:t>
      </w:r>
      <w:r>
        <w:rPr>
          <w:rFonts w:hint="eastAsia"/>
        </w:rPr>
        <w:t>パス・イ・パス検事総長の</w:t>
      </w:r>
      <w:r>
        <w:rPr>
          <w:rFonts w:hint="eastAsia"/>
        </w:rPr>
        <w:t>5</w:t>
      </w:r>
      <w:r>
        <w:rPr>
          <w:rFonts w:hint="eastAsia"/>
        </w:rPr>
        <w:t>月辞任を前に、人事委員会は後任候補の選定を開始した。公示は</w:t>
      </w:r>
      <w:r>
        <w:rPr>
          <w:rFonts w:hint="eastAsia"/>
        </w:rPr>
        <w:t>3</w:t>
      </w:r>
      <w:r>
        <w:rPr>
          <w:rFonts w:hint="eastAsia"/>
        </w:rPr>
        <w:t>月</w:t>
      </w:r>
      <w:r>
        <w:rPr>
          <w:rFonts w:hint="eastAsia"/>
        </w:rPr>
        <w:t>3</w:t>
      </w:r>
      <w:r>
        <w:rPr>
          <w:rFonts w:hint="eastAsia"/>
        </w:rPr>
        <w:t>日～</w:t>
      </w:r>
      <w:r>
        <w:rPr>
          <w:rFonts w:hint="eastAsia"/>
        </w:rPr>
        <w:t>7</w:t>
      </w:r>
      <w:r w:rsidR="00D63544">
        <w:rPr>
          <w:rFonts w:hint="eastAsia"/>
        </w:rPr>
        <w:t>日に行われ、パス・イ・パス現検事総長を含む計</w:t>
      </w:r>
      <w:r w:rsidR="00D63544">
        <w:rPr>
          <w:rFonts w:hint="eastAsia"/>
        </w:rPr>
        <w:t>30</w:t>
      </w:r>
      <w:r>
        <w:rPr>
          <w:rFonts w:hint="eastAsia"/>
        </w:rPr>
        <w:t>名が立候補した。</w:t>
      </w:r>
      <w:r w:rsidR="0064009B">
        <w:rPr>
          <w:rFonts w:hint="eastAsia"/>
        </w:rPr>
        <w:t>人事委員会は同候補者から要件を満たしていない</w:t>
      </w:r>
      <w:r w:rsidR="0064009B">
        <w:rPr>
          <w:rFonts w:hint="eastAsia"/>
        </w:rPr>
        <w:t>4</w:t>
      </w:r>
      <w:r w:rsidR="0064009B">
        <w:rPr>
          <w:rFonts w:hint="eastAsia"/>
        </w:rPr>
        <w:t>名を除外した。同委員会は候補者を</w:t>
      </w:r>
      <w:r w:rsidR="0064009B">
        <w:rPr>
          <w:rFonts w:hint="eastAsia"/>
        </w:rPr>
        <w:t>6</w:t>
      </w:r>
      <w:r w:rsidR="0064009B">
        <w:rPr>
          <w:rFonts w:hint="eastAsia"/>
        </w:rPr>
        <w:t>名まで絞り、</w:t>
      </w:r>
      <w:r w:rsidR="0064009B">
        <w:rPr>
          <w:rFonts w:hint="eastAsia"/>
        </w:rPr>
        <w:t>5</w:t>
      </w:r>
      <w:r w:rsidR="0064009B">
        <w:rPr>
          <w:rFonts w:hint="eastAsia"/>
        </w:rPr>
        <w:t>月</w:t>
      </w:r>
      <w:r w:rsidR="0064009B">
        <w:rPr>
          <w:rFonts w:hint="eastAsia"/>
        </w:rPr>
        <w:t>2</w:t>
      </w:r>
      <w:r w:rsidR="0064009B">
        <w:rPr>
          <w:rFonts w:hint="eastAsia"/>
        </w:rPr>
        <w:t>日に大統領に候補者案を提出する。</w:t>
      </w:r>
    </w:p>
    <w:p w:rsidR="00AB0947" w:rsidRDefault="00083F1B" w:rsidP="004E5764">
      <w:r>
        <w:rPr>
          <w:rFonts w:hint="eastAsia"/>
        </w:rPr>
        <w:t>（</w:t>
      </w:r>
      <w:r w:rsidR="00785EE4">
        <w:rPr>
          <w:rFonts w:hint="eastAsia"/>
        </w:rPr>
        <w:t>２</w:t>
      </w:r>
      <w:r>
        <w:rPr>
          <w:rFonts w:hint="eastAsia"/>
        </w:rPr>
        <w:t>）最高選挙裁判所判事の選定</w:t>
      </w:r>
    </w:p>
    <w:p w:rsidR="00AB0947" w:rsidRDefault="00AB0947" w:rsidP="004E5764">
      <w:r>
        <w:rPr>
          <w:rFonts w:hint="eastAsia"/>
        </w:rPr>
        <w:t xml:space="preserve">　</w:t>
      </w:r>
      <w:r w:rsidR="00735CD8">
        <w:rPr>
          <w:rFonts w:hint="eastAsia"/>
        </w:rPr>
        <w:t>11</w:t>
      </w:r>
      <w:r w:rsidR="00735CD8">
        <w:rPr>
          <w:rFonts w:hint="eastAsia"/>
        </w:rPr>
        <w:t>日、</w:t>
      </w:r>
      <w:r>
        <w:rPr>
          <w:rFonts w:hint="eastAsia"/>
        </w:rPr>
        <w:t>2014</w:t>
      </w:r>
      <w:r>
        <w:rPr>
          <w:rFonts w:hint="eastAsia"/>
        </w:rPr>
        <w:t>年から</w:t>
      </w:r>
      <w:r>
        <w:rPr>
          <w:rFonts w:hint="eastAsia"/>
        </w:rPr>
        <w:t>2020</w:t>
      </w:r>
      <w:r>
        <w:rPr>
          <w:rFonts w:hint="eastAsia"/>
        </w:rPr>
        <w:t>年までを任期とする最高選挙裁判所判事（判事</w:t>
      </w:r>
      <w:r>
        <w:rPr>
          <w:rFonts w:hint="eastAsia"/>
        </w:rPr>
        <w:t>5</w:t>
      </w:r>
      <w:r>
        <w:rPr>
          <w:rFonts w:hint="eastAsia"/>
        </w:rPr>
        <w:t>名、判事補</w:t>
      </w:r>
      <w:r>
        <w:rPr>
          <w:rFonts w:hint="eastAsia"/>
        </w:rPr>
        <w:t>5</w:t>
      </w:r>
      <w:r>
        <w:rPr>
          <w:rFonts w:hint="eastAsia"/>
        </w:rPr>
        <w:t>名）</w:t>
      </w:r>
      <w:r w:rsidR="001A3959">
        <w:rPr>
          <w:rFonts w:hint="eastAsia"/>
        </w:rPr>
        <w:t>に関する人事が国会で承認され、同</w:t>
      </w:r>
      <w:r w:rsidR="00735CD8">
        <w:rPr>
          <w:rFonts w:hint="eastAsia"/>
        </w:rPr>
        <w:t>判事は</w:t>
      </w:r>
      <w:r w:rsidR="00735CD8">
        <w:rPr>
          <w:rFonts w:hint="eastAsia"/>
        </w:rPr>
        <w:t>20</w:t>
      </w:r>
      <w:r w:rsidR="00735CD8">
        <w:rPr>
          <w:rFonts w:hint="eastAsia"/>
        </w:rPr>
        <w:t>日</w:t>
      </w:r>
      <w:r w:rsidR="001A3959">
        <w:rPr>
          <w:rFonts w:hint="eastAsia"/>
        </w:rPr>
        <w:t>に就任した。</w:t>
      </w:r>
    </w:p>
    <w:p w:rsidR="00083F1B" w:rsidRDefault="00083F1B" w:rsidP="004E5764">
      <w:r>
        <w:rPr>
          <w:rFonts w:hint="eastAsia"/>
        </w:rPr>
        <w:t>（</w:t>
      </w:r>
      <w:r w:rsidR="00785EE4">
        <w:rPr>
          <w:rFonts w:hint="eastAsia"/>
        </w:rPr>
        <w:t>３</w:t>
      </w:r>
      <w:r>
        <w:rPr>
          <w:rFonts w:hint="eastAsia"/>
        </w:rPr>
        <w:t>）閣僚に対する国会喚問の再開</w:t>
      </w:r>
    </w:p>
    <w:p w:rsidR="00083F1B" w:rsidRDefault="00083F1B" w:rsidP="004E5764">
      <w:r>
        <w:rPr>
          <w:rFonts w:hint="eastAsia"/>
        </w:rPr>
        <w:t xml:space="preserve">　最高選</w:t>
      </w:r>
      <w:r w:rsidR="005974F6">
        <w:rPr>
          <w:rFonts w:hint="eastAsia"/>
        </w:rPr>
        <w:t>挙裁判所判事の選定後、国会では閣僚に対する喚問が再開された。</w:t>
      </w:r>
      <w:r w:rsidR="005974F6">
        <w:rPr>
          <w:rFonts w:hint="eastAsia"/>
        </w:rPr>
        <w:t>18</w:t>
      </w:r>
      <w:r w:rsidR="005974F6">
        <w:rPr>
          <w:rFonts w:hint="eastAsia"/>
        </w:rPr>
        <w:t>日、バツィン文化スポーツ大臣に対する喚問が再開された</w:t>
      </w:r>
      <w:r>
        <w:rPr>
          <w:rFonts w:hint="eastAsia"/>
        </w:rPr>
        <w:t>が、</w:t>
      </w:r>
      <w:r w:rsidR="005974F6">
        <w:rPr>
          <w:rFonts w:hint="eastAsia"/>
        </w:rPr>
        <w:t>同大臣に対する</w:t>
      </w:r>
      <w:r>
        <w:rPr>
          <w:rFonts w:hint="eastAsia"/>
        </w:rPr>
        <w:t>不信任</w:t>
      </w:r>
      <w:r w:rsidR="005974F6">
        <w:rPr>
          <w:rFonts w:hint="eastAsia"/>
        </w:rPr>
        <w:t>決議</w:t>
      </w:r>
      <w:r>
        <w:rPr>
          <w:rFonts w:hint="eastAsia"/>
        </w:rPr>
        <w:t>案は否決された。</w:t>
      </w:r>
      <w:r w:rsidR="002275D3">
        <w:rPr>
          <w:rFonts w:hint="eastAsia"/>
        </w:rPr>
        <w:t>25</w:t>
      </w:r>
      <w:r w:rsidR="002275D3">
        <w:rPr>
          <w:rFonts w:hint="eastAsia"/>
        </w:rPr>
        <w:t>日、デル・アギラ教育大臣に対する国会喚問が開始され</w:t>
      </w:r>
      <w:r w:rsidR="002532BE">
        <w:rPr>
          <w:rFonts w:hint="eastAsia"/>
        </w:rPr>
        <w:t>、国会では法案を審議</w:t>
      </w:r>
      <w:r w:rsidR="005974F6">
        <w:rPr>
          <w:rFonts w:hint="eastAsia"/>
        </w:rPr>
        <w:t>できない状態が続いている。</w:t>
      </w:r>
    </w:p>
    <w:p w:rsidR="00042191" w:rsidRDefault="00042191" w:rsidP="004E5764">
      <w:r>
        <w:rPr>
          <w:rFonts w:hint="eastAsia"/>
        </w:rPr>
        <w:t>（</w:t>
      </w:r>
      <w:r w:rsidR="00785EE4">
        <w:rPr>
          <w:rFonts w:hint="eastAsia"/>
        </w:rPr>
        <w:t>４</w:t>
      </w:r>
      <w:r>
        <w:rPr>
          <w:rFonts w:hint="eastAsia"/>
        </w:rPr>
        <w:t>）野党</w:t>
      </w:r>
      <w:r>
        <w:rPr>
          <w:rFonts w:hint="eastAsia"/>
        </w:rPr>
        <w:t>LIDER</w:t>
      </w:r>
      <w:r>
        <w:rPr>
          <w:rFonts w:hint="eastAsia"/>
        </w:rPr>
        <w:t>の次期選挙の候補者指名</w:t>
      </w:r>
    </w:p>
    <w:p w:rsidR="00042191" w:rsidRPr="00083F1B" w:rsidRDefault="00042191" w:rsidP="004E5764">
      <w:r>
        <w:rPr>
          <w:rFonts w:hint="eastAsia"/>
        </w:rPr>
        <w:t xml:space="preserve">　バルディソン野党</w:t>
      </w:r>
      <w:r>
        <w:rPr>
          <w:rFonts w:hint="eastAsia"/>
        </w:rPr>
        <w:t>LIDER</w:t>
      </w:r>
      <w:r>
        <w:rPr>
          <w:rFonts w:hint="eastAsia"/>
        </w:rPr>
        <w:t>党首は、ロベルト・ビジャテ</w:t>
      </w:r>
      <w:r w:rsidR="002532BE">
        <w:rPr>
          <w:rFonts w:hint="eastAsia"/>
        </w:rPr>
        <w:t>国会議員団長</w:t>
      </w:r>
      <w:r>
        <w:rPr>
          <w:rFonts w:hint="eastAsia"/>
        </w:rPr>
        <w:t>を来年実施される総選挙における副大統領候補に指名した。また、グアテマラ市長候補にはエドガル・ア</w:t>
      </w:r>
      <w:r w:rsidR="00B512E3">
        <w:rPr>
          <w:rFonts w:hint="eastAsia"/>
        </w:rPr>
        <w:t>フシップ</w:t>
      </w:r>
      <w:r>
        <w:rPr>
          <w:rFonts w:hint="eastAsia"/>
        </w:rPr>
        <w:t>議員を指名した。</w:t>
      </w:r>
    </w:p>
    <w:p w:rsidR="00BF46AA" w:rsidRDefault="00BF46AA" w:rsidP="004E5764"/>
    <w:p w:rsidR="00E1245F" w:rsidRPr="00E1245F" w:rsidRDefault="004E5764">
      <w:pPr>
        <w:rPr>
          <w:shd w:val="pct15" w:color="auto" w:fill="FFFFFF"/>
        </w:rPr>
      </w:pPr>
      <w:r w:rsidRPr="004E5764">
        <w:rPr>
          <w:rFonts w:hint="eastAsia"/>
          <w:shd w:val="pct15" w:color="auto" w:fill="FFFFFF"/>
        </w:rPr>
        <w:t>２．外交</w:t>
      </w:r>
    </w:p>
    <w:p w:rsidR="003E15E6" w:rsidRDefault="003E15E6" w:rsidP="009079F3">
      <w:r>
        <w:rPr>
          <w:rFonts w:hint="eastAsia"/>
        </w:rPr>
        <w:t>（</w:t>
      </w:r>
      <w:r w:rsidR="00785EE4">
        <w:rPr>
          <w:rFonts w:hint="eastAsia"/>
        </w:rPr>
        <w:t>１</w:t>
      </w:r>
      <w:r>
        <w:rPr>
          <w:rFonts w:hint="eastAsia"/>
        </w:rPr>
        <w:t>）対台湾関係</w:t>
      </w:r>
    </w:p>
    <w:p w:rsidR="003E15E6" w:rsidRPr="003E15E6" w:rsidRDefault="003E15E6" w:rsidP="006D192D">
      <w:pPr>
        <w:ind w:firstLineChars="100" w:firstLine="210"/>
      </w:pPr>
      <w:r>
        <w:rPr>
          <w:rFonts w:hint="eastAsia"/>
        </w:rPr>
        <w:t>18</w:t>
      </w:r>
      <w:r>
        <w:rPr>
          <w:rFonts w:hint="eastAsia"/>
        </w:rPr>
        <w:t>日、資金洗浄の容</w:t>
      </w:r>
      <w:r w:rsidR="009A2FCA">
        <w:rPr>
          <w:rFonts w:hint="eastAsia"/>
        </w:rPr>
        <w:t>疑で米国へ身柄引渡しが行われたポルティージョ元大統領に対する公判</w:t>
      </w:r>
      <w:r>
        <w:rPr>
          <w:rFonts w:hint="eastAsia"/>
        </w:rPr>
        <w:t>において、同大統領は台湾との外交関係を維持する見返りに計</w:t>
      </w:r>
      <w:r>
        <w:rPr>
          <w:rFonts w:hint="eastAsia"/>
        </w:rPr>
        <w:t>2.5</w:t>
      </w:r>
      <w:r>
        <w:rPr>
          <w:rFonts w:hint="eastAsia"/>
        </w:rPr>
        <w:t>百万米ドルの賄賂を受け取ったことを認めた。</w:t>
      </w:r>
      <w:r>
        <w:rPr>
          <w:rFonts w:hint="eastAsia"/>
        </w:rPr>
        <w:t>19</w:t>
      </w:r>
      <w:r>
        <w:rPr>
          <w:rFonts w:hint="eastAsia"/>
        </w:rPr>
        <w:t>日、当国外務省は本件に対する説明を台湾大使館に求めた。</w:t>
      </w:r>
      <w:r w:rsidR="00D22BC1">
        <w:rPr>
          <w:rFonts w:hint="eastAsia"/>
        </w:rPr>
        <w:t>これに対し、台湾大使館は外交関係維持目的での資金提供を否定した上で、同資金は教員用テキスト及び大統領府の図書館建設のために提供したものである旨回答した。</w:t>
      </w:r>
      <w:r w:rsidR="008E3B1A">
        <w:rPr>
          <w:rFonts w:hint="eastAsia"/>
        </w:rPr>
        <w:t>なお、ペレス・モリーナ大統領は本件がもたらす外交関係への影響について、中国との外交関係樹立を明確に否定し</w:t>
      </w:r>
      <w:r w:rsidR="00AC1A28">
        <w:rPr>
          <w:rFonts w:hint="eastAsia"/>
        </w:rPr>
        <w:t>た</w:t>
      </w:r>
      <w:r w:rsidR="008E3B1A">
        <w:rPr>
          <w:rFonts w:hint="eastAsia"/>
        </w:rPr>
        <w:t>。</w:t>
      </w:r>
    </w:p>
    <w:p w:rsidR="0094060B" w:rsidRDefault="0094060B" w:rsidP="009079F3">
      <w:r>
        <w:rPr>
          <w:rFonts w:hint="eastAsia"/>
        </w:rPr>
        <w:t>（</w:t>
      </w:r>
      <w:r w:rsidR="00785EE4">
        <w:rPr>
          <w:rFonts w:hint="eastAsia"/>
        </w:rPr>
        <w:t>２</w:t>
      </w:r>
      <w:r>
        <w:rPr>
          <w:rFonts w:hint="eastAsia"/>
        </w:rPr>
        <w:t>）カレーラ外相の外遊</w:t>
      </w:r>
    </w:p>
    <w:p w:rsidR="0094060B" w:rsidRPr="0094060B" w:rsidRDefault="0094060B" w:rsidP="009079F3">
      <w:r>
        <w:rPr>
          <w:rFonts w:hint="eastAsia"/>
        </w:rPr>
        <w:t xml:space="preserve">　カレーラ外相はスイス・ジュネー</w:t>
      </w:r>
      <w:r w:rsidR="00E62D86">
        <w:rPr>
          <w:rFonts w:hint="eastAsia"/>
        </w:rPr>
        <w:t>ヴ</w:t>
      </w:r>
      <w:r>
        <w:rPr>
          <w:rFonts w:hint="eastAsia"/>
        </w:rPr>
        <w:t>でアナン前国連事務総長と会談し、当国の違法薬物問題について議論した。</w:t>
      </w:r>
      <w:r w:rsidR="00E62D86">
        <w:rPr>
          <w:rFonts w:hint="eastAsia"/>
        </w:rPr>
        <w:t>また、ピレイ国連</w:t>
      </w:r>
      <w:r w:rsidR="00586864">
        <w:rPr>
          <w:rFonts w:hint="eastAsia"/>
        </w:rPr>
        <w:t>人権</w:t>
      </w:r>
      <w:r w:rsidR="00E62D86">
        <w:rPr>
          <w:rFonts w:hint="eastAsia"/>
        </w:rPr>
        <w:t>高等弁務官</w:t>
      </w:r>
      <w:r w:rsidR="00586864">
        <w:rPr>
          <w:rFonts w:hint="eastAsia"/>
        </w:rPr>
        <w:t>と会談し、</w:t>
      </w:r>
      <w:r w:rsidR="009A2FCA">
        <w:rPr>
          <w:rFonts w:hint="eastAsia"/>
        </w:rPr>
        <w:t>本年中に任期満了となる</w:t>
      </w:r>
      <w:r w:rsidR="00586864">
        <w:rPr>
          <w:rFonts w:hint="eastAsia"/>
        </w:rPr>
        <w:t>当国の国連人権高等弁務官事務所</w:t>
      </w:r>
      <w:r w:rsidR="004D6373">
        <w:rPr>
          <w:rFonts w:hint="eastAsia"/>
        </w:rPr>
        <w:t>について</w:t>
      </w:r>
      <w:r w:rsidR="004D6373">
        <w:rPr>
          <w:rFonts w:hint="eastAsia"/>
        </w:rPr>
        <w:t>3</w:t>
      </w:r>
      <w:r w:rsidR="004D6373">
        <w:rPr>
          <w:rFonts w:hint="eastAsia"/>
        </w:rPr>
        <w:t>年間の</w:t>
      </w:r>
      <w:r w:rsidR="00586864">
        <w:rPr>
          <w:rFonts w:hint="eastAsia"/>
        </w:rPr>
        <w:t>任期延長を</w:t>
      </w:r>
      <w:r w:rsidR="004D6373">
        <w:rPr>
          <w:rFonts w:hint="eastAsia"/>
        </w:rPr>
        <w:t>申請した</w:t>
      </w:r>
      <w:r w:rsidR="00586864">
        <w:rPr>
          <w:rFonts w:hint="eastAsia"/>
        </w:rPr>
        <w:t>。</w:t>
      </w:r>
      <w:r w:rsidR="004D6373">
        <w:rPr>
          <w:rFonts w:hint="eastAsia"/>
        </w:rPr>
        <w:t>カレーラ外相は、その後、バチカンでフランシスコ法王と会談し、グアテマラ移民に対する庇護を求</w:t>
      </w:r>
      <w:r w:rsidR="004D6373">
        <w:rPr>
          <w:rFonts w:hint="eastAsia"/>
        </w:rPr>
        <w:lastRenderedPageBreak/>
        <w:t>めた。</w:t>
      </w:r>
    </w:p>
    <w:p w:rsidR="00BD7AF7" w:rsidRDefault="0019489D" w:rsidP="009079F3">
      <w:r>
        <w:rPr>
          <w:rFonts w:hint="eastAsia"/>
        </w:rPr>
        <w:t>（</w:t>
      </w:r>
      <w:r w:rsidR="00785EE4">
        <w:rPr>
          <w:rFonts w:hint="eastAsia"/>
        </w:rPr>
        <w:t>３</w:t>
      </w:r>
      <w:r>
        <w:rPr>
          <w:rFonts w:hint="eastAsia"/>
        </w:rPr>
        <w:t>）対米関係</w:t>
      </w:r>
    </w:p>
    <w:p w:rsidR="0019489D" w:rsidRDefault="0019489D" w:rsidP="009079F3">
      <w:r>
        <w:rPr>
          <w:rFonts w:hint="eastAsia"/>
        </w:rPr>
        <w:t xml:space="preserve">　</w:t>
      </w:r>
      <w:r>
        <w:rPr>
          <w:rFonts w:hint="eastAsia"/>
        </w:rPr>
        <w:t>2</w:t>
      </w:r>
      <w:r>
        <w:rPr>
          <w:rFonts w:hint="eastAsia"/>
        </w:rPr>
        <w:t>月末に米国政府が発表した報告書において、当国の警察や司法における組織的腐敗、麻薬輸送や強盗への警察・軍の関与が指摘された。これに対し、ペレス・モリーナ大統領は、米国の協力により当国警察の改革が進んでいることを報告者は言及していない</w:t>
      </w:r>
      <w:r w:rsidR="00E44399">
        <w:rPr>
          <w:rFonts w:hint="eastAsia"/>
        </w:rPr>
        <w:t>旨</w:t>
      </w:r>
      <w:r>
        <w:rPr>
          <w:rFonts w:hint="eastAsia"/>
        </w:rPr>
        <w:t>指摘した。</w:t>
      </w:r>
      <w:r w:rsidR="00E44399">
        <w:rPr>
          <w:rFonts w:hint="eastAsia"/>
        </w:rPr>
        <w:t>一方、</w:t>
      </w:r>
      <w:r w:rsidR="00B23B63">
        <w:rPr>
          <w:rFonts w:hint="eastAsia"/>
        </w:rPr>
        <w:t>3</w:t>
      </w:r>
      <w:r w:rsidR="00B23B63">
        <w:rPr>
          <w:rFonts w:hint="eastAsia"/>
        </w:rPr>
        <w:t>月に</w:t>
      </w:r>
      <w:r w:rsidR="00BC3134">
        <w:rPr>
          <w:rFonts w:hint="eastAsia"/>
        </w:rPr>
        <w:t>離任したアーノルド・チャコン在グアテマラ米国大使は、当国の発展に必要なものは組織の強化であるとの見解を示した。</w:t>
      </w:r>
    </w:p>
    <w:p w:rsidR="00802EE0" w:rsidRDefault="00B13E28" w:rsidP="009079F3">
      <w:r>
        <w:rPr>
          <w:rFonts w:hint="eastAsia"/>
        </w:rPr>
        <w:t>（</w:t>
      </w:r>
      <w:r w:rsidR="00785EE4">
        <w:rPr>
          <w:rFonts w:hint="eastAsia"/>
        </w:rPr>
        <w:t>４</w:t>
      </w:r>
      <w:r>
        <w:rPr>
          <w:rFonts w:hint="eastAsia"/>
        </w:rPr>
        <w:t>）</w:t>
      </w:r>
      <w:r w:rsidR="00802EE0">
        <w:rPr>
          <w:rFonts w:hint="eastAsia"/>
        </w:rPr>
        <w:t>スペイン王妃の当国来訪</w:t>
      </w:r>
    </w:p>
    <w:p w:rsidR="009079F3" w:rsidRDefault="00B13E28" w:rsidP="00802EE0">
      <w:pPr>
        <w:ind w:firstLineChars="100" w:firstLine="210"/>
      </w:pPr>
      <w:r>
        <w:rPr>
          <w:rFonts w:hint="eastAsia"/>
        </w:rPr>
        <w:t>当国を来訪したスペインのソフィア王妃は、</w:t>
      </w:r>
      <w:r>
        <w:rPr>
          <w:rFonts w:hint="eastAsia"/>
        </w:rPr>
        <w:t>18</w:t>
      </w:r>
      <w:r>
        <w:rPr>
          <w:rFonts w:hint="eastAsia"/>
        </w:rPr>
        <w:t>日、ペレス・モリーナ大統領、カレーラ外相らと会談し、当国に対する支援について</w:t>
      </w:r>
      <w:r w:rsidR="00C84CE4">
        <w:rPr>
          <w:rFonts w:hint="eastAsia"/>
        </w:rPr>
        <w:t>協議した。また</w:t>
      </w:r>
      <w:r>
        <w:rPr>
          <w:rFonts w:hint="eastAsia"/>
        </w:rPr>
        <w:t>同日、パス・イ・パス検事総長と会談し、当国における女性への暴力問題等について説明を受けた。その後、</w:t>
      </w:r>
      <w:r w:rsidR="00C84CE4">
        <w:rPr>
          <w:rFonts w:hint="eastAsia"/>
        </w:rPr>
        <w:t>ソフィア</w:t>
      </w:r>
      <w:r>
        <w:rPr>
          <w:rFonts w:hint="eastAsia"/>
        </w:rPr>
        <w:t>王妃はスペインによる援助の現場を視察した。</w:t>
      </w:r>
    </w:p>
    <w:p w:rsidR="00897D99" w:rsidRDefault="00897D99" w:rsidP="00897D99">
      <w:r>
        <w:rPr>
          <w:rFonts w:hint="eastAsia"/>
        </w:rPr>
        <w:t>（</w:t>
      </w:r>
      <w:r w:rsidR="00785EE4">
        <w:rPr>
          <w:rFonts w:hint="eastAsia"/>
        </w:rPr>
        <w:t>５</w:t>
      </w:r>
      <w:r>
        <w:rPr>
          <w:rFonts w:hint="eastAsia"/>
        </w:rPr>
        <w:t>）エルサルバドル次期大統領の当国来訪</w:t>
      </w:r>
    </w:p>
    <w:p w:rsidR="00897D99" w:rsidRPr="00897D99" w:rsidRDefault="00897D99" w:rsidP="00897D99">
      <w:r>
        <w:rPr>
          <w:rFonts w:hint="eastAsia"/>
        </w:rPr>
        <w:t xml:space="preserve">　</w:t>
      </w:r>
      <w:r>
        <w:rPr>
          <w:rFonts w:hint="eastAsia"/>
        </w:rPr>
        <w:t>28</w:t>
      </w:r>
      <w:r>
        <w:rPr>
          <w:rFonts w:hint="eastAsia"/>
        </w:rPr>
        <w:t>日、当国を来訪したサンチェス・エルサルバドル次期大統領は、ペレス・モリーナ大統領と会談し、両国の経済関係強化を約束した。</w:t>
      </w:r>
    </w:p>
    <w:p w:rsidR="00B13E28" w:rsidRDefault="00B13E28" w:rsidP="009079F3"/>
    <w:p w:rsidR="009079F3" w:rsidRPr="00324552" w:rsidRDefault="009079F3" w:rsidP="009079F3">
      <w:pPr>
        <w:rPr>
          <w:shd w:val="pct15" w:color="auto" w:fill="FFFFFF"/>
        </w:rPr>
      </w:pPr>
      <w:r w:rsidRPr="00324552">
        <w:rPr>
          <w:rFonts w:hint="eastAsia"/>
          <w:shd w:val="pct15" w:color="auto" w:fill="FFFFFF"/>
        </w:rPr>
        <w:t>３．</w:t>
      </w:r>
      <w:r w:rsidR="00234001" w:rsidRPr="00324552">
        <w:rPr>
          <w:rFonts w:hint="eastAsia"/>
          <w:shd w:val="pct15" w:color="auto" w:fill="FFFFFF"/>
        </w:rPr>
        <w:t>経済</w:t>
      </w:r>
    </w:p>
    <w:p w:rsidR="00A76371" w:rsidRDefault="0005170E" w:rsidP="009079F3">
      <w:r>
        <w:rPr>
          <w:rFonts w:hint="eastAsia"/>
        </w:rPr>
        <w:t>（</w:t>
      </w:r>
      <w:r w:rsidR="00785EE4">
        <w:rPr>
          <w:rFonts w:hint="eastAsia"/>
        </w:rPr>
        <w:t>１</w:t>
      </w:r>
      <w:r>
        <w:rPr>
          <w:rFonts w:hint="eastAsia"/>
        </w:rPr>
        <w:t>）チップに対する課税</w:t>
      </w:r>
    </w:p>
    <w:p w:rsidR="0005170E" w:rsidRDefault="0005170E" w:rsidP="009079F3">
      <w:r>
        <w:rPr>
          <w:rFonts w:hint="eastAsia"/>
        </w:rPr>
        <w:t xml:space="preserve">　</w:t>
      </w:r>
      <w:r w:rsidR="003959A8">
        <w:rPr>
          <w:rFonts w:hint="eastAsia"/>
        </w:rPr>
        <w:t>国税庁は、</w:t>
      </w:r>
      <w:r>
        <w:rPr>
          <w:rFonts w:hint="eastAsia"/>
        </w:rPr>
        <w:t>レストラン</w:t>
      </w:r>
      <w:r w:rsidR="00832E2E">
        <w:rPr>
          <w:rFonts w:hint="eastAsia"/>
        </w:rPr>
        <w:t>やホテル</w:t>
      </w:r>
      <w:r w:rsidR="003959A8">
        <w:rPr>
          <w:rFonts w:hint="eastAsia"/>
        </w:rPr>
        <w:t>等を利用した際に支払う</w:t>
      </w:r>
      <w:r>
        <w:rPr>
          <w:rFonts w:hint="eastAsia"/>
        </w:rPr>
        <w:t>チップ</w:t>
      </w:r>
      <w:r w:rsidR="00832E2E">
        <w:rPr>
          <w:rFonts w:hint="eastAsia"/>
        </w:rPr>
        <w:t>は</w:t>
      </w:r>
      <w:r w:rsidR="003959A8">
        <w:rPr>
          <w:rFonts w:hint="eastAsia"/>
        </w:rPr>
        <w:t>、</w:t>
      </w:r>
      <w:r w:rsidR="00832E2E">
        <w:rPr>
          <w:rFonts w:hint="eastAsia"/>
        </w:rPr>
        <w:t>課税前の金額ではなく、</w:t>
      </w:r>
      <w:r>
        <w:rPr>
          <w:rFonts w:hint="eastAsia"/>
        </w:rPr>
        <w:t>付加価値税</w:t>
      </w:r>
      <w:r w:rsidR="00832E2E">
        <w:rPr>
          <w:rFonts w:hint="eastAsia"/>
        </w:rPr>
        <w:t>（</w:t>
      </w:r>
      <w:r w:rsidR="00832E2E">
        <w:rPr>
          <w:rFonts w:hint="eastAsia"/>
        </w:rPr>
        <w:t>IVA</w:t>
      </w:r>
      <w:r w:rsidR="00832E2E">
        <w:rPr>
          <w:rFonts w:hint="eastAsia"/>
        </w:rPr>
        <w:t>）計上後の金額に対して乗じて計算し、</w:t>
      </w:r>
      <w:r w:rsidR="003959A8">
        <w:rPr>
          <w:rFonts w:hint="eastAsia"/>
        </w:rPr>
        <w:t>また、当該チップの金額は</w:t>
      </w:r>
      <w:r w:rsidR="00832E2E">
        <w:rPr>
          <w:rFonts w:hint="eastAsia"/>
        </w:rPr>
        <w:t>請求書に記載すべき</w:t>
      </w:r>
      <w:r>
        <w:rPr>
          <w:rFonts w:hint="eastAsia"/>
        </w:rPr>
        <w:t>との見解を示した</w:t>
      </w:r>
      <w:r w:rsidR="00831D45">
        <w:rPr>
          <w:rFonts w:hint="eastAsia"/>
        </w:rPr>
        <w:t>（記載を怠った場合の罰金は</w:t>
      </w:r>
      <w:r w:rsidR="00831D45">
        <w:rPr>
          <w:rFonts w:hint="eastAsia"/>
        </w:rPr>
        <w:t>100</w:t>
      </w:r>
      <w:r w:rsidR="00831D45">
        <w:rPr>
          <w:rFonts w:hint="eastAsia"/>
        </w:rPr>
        <w:t>ケツァルとなる見込み）</w:t>
      </w:r>
      <w:r>
        <w:rPr>
          <w:rFonts w:hint="eastAsia"/>
        </w:rPr>
        <w:t>。</w:t>
      </w:r>
      <w:r w:rsidR="003959A8">
        <w:rPr>
          <w:rFonts w:hint="eastAsia"/>
        </w:rPr>
        <w:t>グアテマラレストラン組合は、</w:t>
      </w:r>
      <w:r w:rsidR="00811569">
        <w:rPr>
          <w:rFonts w:hint="eastAsia"/>
        </w:rPr>
        <w:t>チップは顧客が店員に対して自発的に支払うものであるため、</w:t>
      </w:r>
      <w:r w:rsidR="003959A8">
        <w:rPr>
          <w:rFonts w:hint="eastAsia"/>
        </w:rPr>
        <w:t>請求書へのチップ</w:t>
      </w:r>
      <w:r w:rsidR="005D2856">
        <w:rPr>
          <w:rFonts w:hint="eastAsia"/>
        </w:rPr>
        <w:t>の</w:t>
      </w:r>
      <w:r w:rsidR="003959A8">
        <w:rPr>
          <w:rFonts w:hint="eastAsia"/>
        </w:rPr>
        <w:t>記載義務化に反対している。</w:t>
      </w:r>
    </w:p>
    <w:p w:rsidR="004B74B8" w:rsidRPr="004B74B8" w:rsidRDefault="004B74B8" w:rsidP="009079F3">
      <w:r>
        <w:rPr>
          <w:rFonts w:hint="eastAsia"/>
        </w:rPr>
        <w:t>（</w:t>
      </w:r>
      <w:r w:rsidR="00785EE4">
        <w:rPr>
          <w:rFonts w:hint="eastAsia"/>
        </w:rPr>
        <w:t>２</w:t>
      </w:r>
      <w:r>
        <w:rPr>
          <w:rFonts w:hint="eastAsia"/>
        </w:rPr>
        <w:t>）米国からの当国強制送還者の増加</w:t>
      </w:r>
    </w:p>
    <w:p w:rsidR="009079F3" w:rsidRDefault="004B74B8" w:rsidP="009079F3">
      <w:r>
        <w:rPr>
          <w:rFonts w:hint="eastAsia"/>
        </w:rPr>
        <w:t xml:space="preserve">　</w:t>
      </w:r>
      <w:r w:rsidR="00E96ADD">
        <w:rPr>
          <w:rFonts w:hint="eastAsia"/>
        </w:rPr>
        <w:t>移民局の統計によれば、</w:t>
      </w:r>
      <w:r>
        <w:rPr>
          <w:rFonts w:hint="eastAsia"/>
        </w:rPr>
        <w:t>米国から当国への強制送還が増加傾向にあり、</w:t>
      </w:r>
      <w:r>
        <w:rPr>
          <w:rFonts w:hint="eastAsia"/>
        </w:rPr>
        <w:t>2</w:t>
      </w:r>
      <w:r>
        <w:rPr>
          <w:rFonts w:hint="eastAsia"/>
        </w:rPr>
        <w:t>月末時点で計</w:t>
      </w:r>
      <w:r>
        <w:rPr>
          <w:rFonts w:hint="eastAsia"/>
        </w:rPr>
        <w:t>8,395</w:t>
      </w:r>
      <w:r>
        <w:rPr>
          <w:rFonts w:hint="eastAsia"/>
        </w:rPr>
        <w:t>人が強制送還され、</w:t>
      </w:r>
      <w:r w:rsidR="007A6966">
        <w:rPr>
          <w:rFonts w:hint="eastAsia"/>
        </w:rPr>
        <w:t>前年同月末時点と比較して</w:t>
      </w:r>
      <w:r w:rsidR="007A6966">
        <w:rPr>
          <w:rFonts w:hint="eastAsia"/>
        </w:rPr>
        <w:t>31%</w:t>
      </w:r>
      <w:r w:rsidR="007A6966">
        <w:rPr>
          <w:rFonts w:hint="eastAsia"/>
        </w:rPr>
        <w:t>増加</w:t>
      </w:r>
      <w:r w:rsidR="0023618F">
        <w:rPr>
          <w:rFonts w:hint="eastAsia"/>
        </w:rPr>
        <w:t>した</w:t>
      </w:r>
      <w:r w:rsidR="007A6966">
        <w:rPr>
          <w:rFonts w:hint="eastAsia"/>
        </w:rPr>
        <w:t>（前年</w:t>
      </w:r>
      <w:r w:rsidR="007A6966">
        <w:rPr>
          <w:rFonts w:hint="eastAsia"/>
        </w:rPr>
        <w:t>2</w:t>
      </w:r>
      <w:r w:rsidR="007A6966">
        <w:rPr>
          <w:rFonts w:hint="eastAsia"/>
        </w:rPr>
        <w:t>月末時点では</w:t>
      </w:r>
      <w:r w:rsidR="007A6966">
        <w:rPr>
          <w:rFonts w:hint="eastAsia"/>
        </w:rPr>
        <w:t>6,414</w:t>
      </w:r>
      <w:r w:rsidR="0023618F">
        <w:rPr>
          <w:rFonts w:hint="eastAsia"/>
        </w:rPr>
        <w:t>人）</w:t>
      </w:r>
      <w:r w:rsidR="007A6966">
        <w:rPr>
          <w:rFonts w:hint="eastAsia"/>
        </w:rPr>
        <w:t>。</w:t>
      </w:r>
    </w:p>
    <w:p w:rsidR="0023618F" w:rsidRDefault="0023618F" w:rsidP="009079F3">
      <w:r>
        <w:rPr>
          <w:rFonts w:hint="eastAsia"/>
        </w:rPr>
        <w:t>（</w:t>
      </w:r>
      <w:r w:rsidR="00785EE4">
        <w:rPr>
          <w:rFonts w:hint="eastAsia"/>
        </w:rPr>
        <w:t>３</w:t>
      </w:r>
      <w:r>
        <w:rPr>
          <w:rFonts w:hint="eastAsia"/>
        </w:rPr>
        <w:t>）通関コストの増加</w:t>
      </w:r>
    </w:p>
    <w:p w:rsidR="007A6966" w:rsidRDefault="00E96ADD" w:rsidP="00E96ADD">
      <w:pPr>
        <w:ind w:firstLineChars="100" w:firstLine="210"/>
      </w:pPr>
      <w:r>
        <w:rPr>
          <w:rFonts w:hint="eastAsia"/>
        </w:rPr>
        <w:t>世界銀行の調査によれば、</w:t>
      </w:r>
      <w:r w:rsidR="0023618F">
        <w:rPr>
          <w:rFonts w:hint="eastAsia"/>
        </w:rPr>
        <w:t>2014</w:t>
      </w:r>
      <w:r w:rsidR="0023618F">
        <w:rPr>
          <w:rFonts w:hint="eastAsia"/>
        </w:rPr>
        <w:t>年</w:t>
      </w:r>
      <w:r w:rsidR="0023618F">
        <w:rPr>
          <w:rFonts w:hint="eastAsia"/>
        </w:rPr>
        <w:t>1</w:t>
      </w:r>
      <w:r w:rsidR="0023618F">
        <w:rPr>
          <w:rFonts w:hint="eastAsia"/>
        </w:rPr>
        <w:t>月の平均通関費用は</w:t>
      </w:r>
      <w:r w:rsidR="0023618F">
        <w:rPr>
          <w:rFonts w:hint="eastAsia"/>
        </w:rPr>
        <w:t>900</w:t>
      </w:r>
      <w:r w:rsidR="0023618F">
        <w:rPr>
          <w:rFonts w:hint="eastAsia"/>
        </w:rPr>
        <w:t>米ドルを超え、半年間で</w:t>
      </w:r>
      <w:r w:rsidR="0023618F">
        <w:rPr>
          <w:rFonts w:hint="eastAsia"/>
        </w:rPr>
        <w:t>30</w:t>
      </w:r>
      <w:r w:rsidR="0023618F">
        <w:rPr>
          <w:rFonts w:hint="eastAsia"/>
        </w:rPr>
        <w:t>～</w:t>
      </w:r>
      <w:r w:rsidR="0023618F">
        <w:rPr>
          <w:rFonts w:hint="eastAsia"/>
        </w:rPr>
        <w:t>40%</w:t>
      </w:r>
      <w:r w:rsidR="0023618F">
        <w:rPr>
          <w:rFonts w:hint="eastAsia"/>
        </w:rPr>
        <w:t>増加した（</w:t>
      </w:r>
      <w:r w:rsidR="0023618F">
        <w:rPr>
          <w:rFonts w:hint="eastAsia"/>
        </w:rPr>
        <w:t>2013</w:t>
      </w:r>
      <w:r w:rsidR="0023618F">
        <w:rPr>
          <w:rFonts w:hint="eastAsia"/>
        </w:rPr>
        <w:t>年半ばは</w:t>
      </w:r>
      <w:r w:rsidR="0023618F">
        <w:rPr>
          <w:rFonts w:hint="eastAsia"/>
        </w:rPr>
        <w:t>650</w:t>
      </w:r>
      <w:r w:rsidR="0023618F">
        <w:rPr>
          <w:rFonts w:hint="eastAsia"/>
        </w:rPr>
        <w:t>米ドル程度）。また、通関時の港での積荷の待機期間は</w:t>
      </w:r>
      <w:r w:rsidR="00785EE4">
        <w:rPr>
          <w:rFonts w:hint="eastAsia"/>
        </w:rPr>
        <w:t>、</w:t>
      </w:r>
      <w:r w:rsidR="0023618F">
        <w:rPr>
          <w:rFonts w:hint="eastAsia"/>
        </w:rPr>
        <w:t>以前は</w:t>
      </w:r>
      <w:r w:rsidR="0023618F">
        <w:rPr>
          <w:rFonts w:hint="eastAsia"/>
        </w:rPr>
        <w:t>8</w:t>
      </w:r>
      <w:r w:rsidR="0023618F">
        <w:rPr>
          <w:rFonts w:hint="eastAsia"/>
        </w:rPr>
        <w:t>日間であったが、現在は</w:t>
      </w:r>
      <w:r w:rsidR="0023618F">
        <w:rPr>
          <w:rFonts w:hint="eastAsia"/>
        </w:rPr>
        <w:t>17</w:t>
      </w:r>
      <w:r w:rsidR="0023618F">
        <w:rPr>
          <w:rFonts w:hint="eastAsia"/>
        </w:rPr>
        <w:t>日間かかり、保管コストは一日あたり</w:t>
      </w:r>
      <w:r w:rsidR="0023618F">
        <w:rPr>
          <w:rFonts w:hint="eastAsia"/>
        </w:rPr>
        <w:t>90</w:t>
      </w:r>
      <w:r w:rsidR="0023618F">
        <w:rPr>
          <w:rFonts w:hint="eastAsia"/>
        </w:rPr>
        <w:t>米ドル／１コンテナ発生する。</w:t>
      </w:r>
    </w:p>
    <w:p w:rsidR="00E96ADD" w:rsidRDefault="00F66968" w:rsidP="00E96ADD">
      <w:r>
        <w:rPr>
          <w:rFonts w:hint="eastAsia"/>
        </w:rPr>
        <w:t>（</w:t>
      </w:r>
      <w:r w:rsidR="00785EE4">
        <w:rPr>
          <w:rFonts w:hint="eastAsia"/>
        </w:rPr>
        <w:t>４</w:t>
      </w:r>
      <w:r>
        <w:rPr>
          <w:rFonts w:hint="eastAsia"/>
        </w:rPr>
        <w:t>）ペットフード</w:t>
      </w:r>
      <w:r w:rsidR="00E96ADD">
        <w:rPr>
          <w:rFonts w:hint="eastAsia"/>
        </w:rPr>
        <w:t>輸出の増加</w:t>
      </w:r>
    </w:p>
    <w:p w:rsidR="00E96ADD" w:rsidRDefault="00E96ADD" w:rsidP="00E96ADD">
      <w:r>
        <w:rPr>
          <w:rFonts w:hint="eastAsia"/>
        </w:rPr>
        <w:t xml:space="preserve">　</w:t>
      </w:r>
      <w:r>
        <w:rPr>
          <w:rFonts w:hint="eastAsia"/>
        </w:rPr>
        <w:t>Agexport</w:t>
      </w:r>
      <w:r>
        <w:rPr>
          <w:rFonts w:hint="eastAsia"/>
        </w:rPr>
        <w:t>（グアテマラ輸出業者組合）によれば、</w:t>
      </w:r>
      <w:r>
        <w:rPr>
          <w:rFonts w:hint="eastAsia"/>
        </w:rPr>
        <w:t>2013</w:t>
      </w:r>
      <w:r w:rsidR="00F66968">
        <w:rPr>
          <w:rFonts w:hint="eastAsia"/>
        </w:rPr>
        <w:t>年の中米向け当国産ペットフード</w:t>
      </w:r>
      <w:r>
        <w:rPr>
          <w:rFonts w:hint="eastAsia"/>
        </w:rPr>
        <w:t>の輸出は前年比で</w:t>
      </w:r>
      <w:r>
        <w:rPr>
          <w:rFonts w:hint="eastAsia"/>
        </w:rPr>
        <w:t>22%</w:t>
      </w:r>
      <w:r>
        <w:rPr>
          <w:rFonts w:hint="eastAsia"/>
        </w:rPr>
        <w:t>増加し、輸出額は</w:t>
      </w:r>
      <w:r>
        <w:rPr>
          <w:rFonts w:hint="eastAsia"/>
        </w:rPr>
        <w:t>6</w:t>
      </w:r>
      <w:r>
        <w:rPr>
          <w:rFonts w:hint="eastAsia"/>
        </w:rPr>
        <w:t>千万米ドルとなった。</w:t>
      </w:r>
      <w:r w:rsidR="00E208E7">
        <w:rPr>
          <w:rFonts w:hint="eastAsia"/>
        </w:rPr>
        <w:t>主な輸出先は、ホンジュラス（</w:t>
      </w:r>
      <w:r w:rsidR="00E208E7">
        <w:rPr>
          <w:rFonts w:hint="eastAsia"/>
        </w:rPr>
        <w:t>33%</w:t>
      </w:r>
      <w:r w:rsidR="00E208E7">
        <w:rPr>
          <w:rFonts w:hint="eastAsia"/>
        </w:rPr>
        <w:t>）、ニカラグア（</w:t>
      </w:r>
      <w:r w:rsidR="00E208E7">
        <w:rPr>
          <w:rFonts w:hint="eastAsia"/>
        </w:rPr>
        <w:t>29%</w:t>
      </w:r>
      <w:r w:rsidR="00E208E7">
        <w:rPr>
          <w:rFonts w:hint="eastAsia"/>
        </w:rPr>
        <w:t>）及びベリーズ（</w:t>
      </w:r>
      <w:r w:rsidR="00E208E7">
        <w:rPr>
          <w:rFonts w:hint="eastAsia"/>
        </w:rPr>
        <w:t>18%</w:t>
      </w:r>
      <w:r w:rsidR="00E208E7">
        <w:rPr>
          <w:rFonts w:hint="eastAsia"/>
        </w:rPr>
        <w:t>）。</w:t>
      </w:r>
    </w:p>
    <w:p w:rsidR="001333B4" w:rsidRDefault="001333B4" w:rsidP="00E96ADD">
      <w:r>
        <w:rPr>
          <w:rFonts w:hint="eastAsia"/>
        </w:rPr>
        <w:lastRenderedPageBreak/>
        <w:t>（</w:t>
      </w:r>
      <w:r w:rsidR="00785EE4">
        <w:rPr>
          <w:rFonts w:hint="eastAsia"/>
        </w:rPr>
        <w:t>５</w:t>
      </w:r>
      <w:r>
        <w:rPr>
          <w:rFonts w:hint="eastAsia"/>
        </w:rPr>
        <w:t>）中米企業と欧州企業のマッチングシステム創設計画</w:t>
      </w:r>
    </w:p>
    <w:p w:rsidR="001333B4" w:rsidRDefault="001333B4" w:rsidP="00E96ADD">
      <w:r>
        <w:rPr>
          <w:rFonts w:hint="eastAsia"/>
        </w:rPr>
        <w:t xml:space="preserve">　</w:t>
      </w:r>
      <w:r w:rsidRPr="001333B4">
        <w:rPr>
          <w:rFonts w:hint="eastAsia"/>
        </w:rPr>
        <w:t>中米経済統合一般条約常設事務局</w:t>
      </w:r>
      <w:r>
        <w:rPr>
          <w:rFonts w:hint="eastAsia"/>
        </w:rPr>
        <w:t>（</w:t>
      </w:r>
      <w:r>
        <w:rPr>
          <w:rFonts w:hint="eastAsia"/>
        </w:rPr>
        <w:t>SIECA</w:t>
      </w:r>
      <w:r>
        <w:rPr>
          <w:rFonts w:hint="eastAsia"/>
        </w:rPr>
        <w:t>）及び国際貿易センター（</w:t>
      </w:r>
      <w:r>
        <w:rPr>
          <w:rFonts w:hint="eastAsia"/>
        </w:rPr>
        <w:t>ITC</w:t>
      </w:r>
      <w:r>
        <w:rPr>
          <w:rFonts w:hint="eastAsia"/>
        </w:rPr>
        <w:t>）は、中米企業及び欧州企業双方のビジネスのマッチングをするシステムの創設を決定した。同システムは</w:t>
      </w:r>
      <w:r>
        <w:rPr>
          <w:rFonts w:hint="eastAsia"/>
        </w:rPr>
        <w:t>Facebook</w:t>
      </w:r>
      <w:r>
        <w:rPr>
          <w:rFonts w:hint="eastAsia"/>
        </w:rPr>
        <w:t>のようなソーシャルネットワークを想定しており、</w:t>
      </w:r>
      <w:r>
        <w:rPr>
          <w:rFonts w:hint="eastAsia"/>
        </w:rPr>
        <w:t>2</w:t>
      </w:r>
      <w:r>
        <w:rPr>
          <w:rFonts w:hint="eastAsia"/>
        </w:rPr>
        <w:t>年後に稼働する見込み。</w:t>
      </w:r>
    </w:p>
    <w:p w:rsidR="000435C5" w:rsidRDefault="000435C5" w:rsidP="00E96ADD">
      <w:r>
        <w:rPr>
          <w:rFonts w:hint="eastAsia"/>
        </w:rPr>
        <w:t>（</w:t>
      </w:r>
      <w:r w:rsidR="00785EE4">
        <w:rPr>
          <w:rFonts w:hint="eastAsia"/>
        </w:rPr>
        <w:t>６</w:t>
      </w:r>
      <w:r>
        <w:rPr>
          <w:rFonts w:hint="eastAsia"/>
        </w:rPr>
        <w:t>）高い陸上輸送コスト</w:t>
      </w:r>
    </w:p>
    <w:p w:rsidR="000435C5" w:rsidRDefault="000435C5" w:rsidP="00E96ADD">
      <w:r>
        <w:rPr>
          <w:rFonts w:hint="eastAsia"/>
        </w:rPr>
        <w:t xml:space="preserve">　世界銀行の調査によれば、中米の陸上輸送はアフリカの</w:t>
      </w:r>
      <w:r>
        <w:rPr>
          <w:rFonts w:hint="eastAsia"/>
        </w:rPr>
        <w:t>2</w:t>
      </w:r>
      <w:r>
        <w:rPr>
          <w:rFonts w:hint="eastAsia"/>
        </w:rPr>
        <w:t>倍、先進国の</w:t>
      </w:r>
      <w:r>
        <w:rPr>
          <w:rFonts w:hint="eastAsia"/>
        </w:rPr>
        <w:t>4</w:t>
      </w:r>
      <w:r>
        <w:rPr>
          <w:rFonts w:hint="eastAsia"/>
        </w:rPr>
        <w:t>倍の費用がかかり、中米は世界の中でも最も陸上輸送費用の高い地域のひとつであることが明らかとなった。世界銀行は、中米の国際競争力を</w:t>
      </w:r>
      <w:r w:rsidR="00BC4E9F">
        <w:rPr>
          <w:rFonts w:hint="eastAsia"/>
        </w:rPr>
        <w:t>高め</w:t>
      </w:r>
      <w:r>
        <w:rPr>
          <w:rFonts w:hint="eastAsia"/>
        </w:rPr>
        <w:t>るためには、陸上輸送の改善が必要であるとしている。</w:t>
      </w:r>
    </w:p>
    <w:p w:rsidR="006D192D" w:rsidRDefault="006D192D" w:rsidP="00E96ADD">
      <w:r>
        <w:rPr>
          <w:rFonts w:hint="eastAsia"/>
        </w:rPr>
        <w:t>（</w:t>
      </w:r>
      <w:r w:rsidR="00785EE4">
        <w:rPr>
          <w:rFonts w:hint="eastAsia"/>
        </w:rPr>
        <w:t>７</w:t>
      </w:r>
      <w:r>
        <w:rPr>
          <w:rFonts w:hint="eastAsia"/>
        </w:rPr>
        <w:t>）トウモロコシ価格の上昇</w:t>
      </w:r>
    </w:p>
    <w:p w:rsidR="006D192D" w:rsidRDefault="006D192D" w:rsidP="00E96ADD">
      <w:r>
        <w:rPr>
          <w:rFonts w:hint="eastAsia"/>
        </w:rPr>
        <w:t xml:space="preserve">　国連食糧農業機関の報告によれば、</w:t>
      </w:r>
      <w:r>
        <w:rPr>
          <w:rFonts w:hint="eastAsia"/>
        </w:rPr>
        <w:t>2</w:t>
      </w:r>
      <w:r>
        <w:rPr>
          <w:rFonts w:hint="eastAsia"/>
        </w:rPr>
        <w:t>月のトウモロコシの価格が</w:t>
      </w:r>
      <w:r>
        <w:rPr>
          <w:rFonts w:hint="eastAsia"/>
        </w:rPr>
        <w:t>6.9%</w:t>
      </w:r>
      <w:r>
        <w:rPr>
          <w:rFonts w:hint="eastAsia"/>
        </w:rPr>
        <w:t>上昇し、</w:t>
      </w:r>
      <w:r>
        <w:rPr>
          <w:rFonts w:hint="eastAsia"/>
        </w:rPr>
        <w:t>1</w:t>
      </w:r>
      <w:r>
        <w:rPr>
          <w:rFonts w:hint="eastAsia"/>
        </w:rPr>
        <w:t>キロあたり</w:t>
      </w:r>
      <w:r>
        <w:rPr>
          <w:rFonts w:hint="eastAsia"/>
        </w:rPr>
        <w:t>109</w:t>
      </w:r>
      <w:r>
        <w:rPr>
          <w:rFonts w:hint="eastAsia"/>
        </w:rPr>
        <w:t>ケツァルとなった（前月は</w:t>
      </w:r>
      <w:r>
        <w:rPr>
          <w:rFonts w:hint="eastAsia"/>
        </w:rPr>
        <w:t>102</w:t>
      </w:r>
      <w:r w:rsidR="00661AAD">
        <w:rPr>
          <w:rFonts w:hint="eastAsia"/>
        </w:rPr>
        <w:t>ケツァル）。同価格上昇は主要市場における供給不足が要因であるが、国内の需要は十分満たしている。</w:t>
      </w:r>
    </w:p>
    <w:p w:rsidR="006B2054" w:rsidRDefault="006B2054" w:rsidP="00E96ADD">
      <w:r>
        <w:rPr>
          <w:rFonts w:hint="eastAsia"/>
        </w:rPr>
        <w:t>（</w:t>
      </w:r>
      <w:r w:rsidR="00785EE4">
        <w:rPr>
          <w:rFonts w:hint="eastAsia"/>
        </w:rPr>
        <w:t>８</w:t>
      </w:r>
      <w:r>
        <w:rPr>
          <w:rFonts w:hint="eastAsia"/>
        </w:rPr>
        <w:t>）セメント価格の上昇</w:t>
      </w:r>
    </w:p>
    <w:p w:rsidR="006B2054" w:rsidRDefault="006B2054" w:rsidP="00E96ADD">
      <w:r>
        <w:rPr>
          <w:rFonts w:hint="eastAsia"/>
        </w:rPr>
        <w:t xml:space="preserve">　建設会議所の報告によれば、近年セメントの価格が上昇しており、</w:t>
      </w:r>
      <w:r>
        <w:rPr>
          <w:rFonts w:hint="eastAsia"/>
        </w:rPr>
        <w:t>5</w:t>
      </w:r>
      <w:r>
        <w:rPr>
          <w:rFonts w:hint="eastAsia"/>
        </w:rPr>
        <w:t>年間で</w:t>
      </w:r>
      <w:r>
        <w:rPr>
          <w:rFonts w:hint="eastAsia"/>
        </w:rPr>
        <w:t>37%</w:t>
      </w:r>
      <w:r>
        <w:rPr>
          <w:rFonts w:hint="eastAsia"/>
        </w:rPr>
        <w:t>上昇した。上昇の要因は、石油価格の上昇、輸送費用の増加等が挙げられる。</w:t>
      </w:r>
      <w:r w:rsidR="009D3986">
        <w:rPr>
          <w:rFonts w:hint="eastAsia"/>
        </w:rPr>
        <w:t>価格上昇率</w:t>
      </w:r>
      <w:r>
        <w:rPr>
          <w:rFonts w:hint="eastAsia"/>
        </w:rPr>
        <w:t>は</w:t>
      </w:r>
      <w:r w:rsidR="009D3986">
        <w:rPr>
          <w:rFonts w:hint="eastAsia"/>
        </w:rPr>
        <w:t>毎年</w:t>
      </w:r>
      <w:r>
        <w:rPr>
          <w:rFonts w:hint="eastAsia"/>
        </w:rPr>
        <w:t>緩やかになっているものの、建設費用の増加が懸念される。</w:t>
      </w:r>
    </w:p>
    <w:p w:rsidR="00A63D8A" w:rsidRDefault="00A63D8A" w:rsidP="00E96ADD">
      <w:r>
        <w:rPr>
          <w:rFonts w:hint="eastAsia"/>
        </w:rPr>
        <w:t>（</w:t>
      </w:r>
      <w:r w:rsidR="00785EE4">
        <w:rPr>
          <w:rFonts w:hint="eastAsia"/>
        </w:rPr>
        <w:t>９</w:t>
      </w:r>
      <w:r>
        <w:rPr>
          <w:rFonts w:hint="eastAsia"/>
        </w:rPr>
        <w:t>）</w:t>
      </w:r>
      <w:r w:rsidR="00735CD8">
        <w:rPr>
          <w:rFonts w:hint="eastAsia"/>
        </w:rPr>
        <w:t>宿泊税</w:t>
      </w:r>
      <w:r>
        <w:rPr>
          <w:rFonts w:hint="eastAsia"/>
        </w:rPr>
        <w:t>の税収増加</w:t>
      </w:r>
    </w:p>
    <w:p w:rsidR="00A63D8A" w:rsidRPr="00A63D8A" w:rsidRDefault="007C6635" w:rsidP="00E96ADD">
      <w:r>
        <w:rPr>
          <w:rFonts w:hint="eastAsia"/>
        </w:rPr>
        <w:t xml:space="preserve">　観光庁（</w:t>
      </w:r>
      <w:r>
        <w:rPr>
          <w:rFonts w:hint="eastAsia"/>
        </w:rPr>
        <w:t>Inguat</w:t>
      </w:r>
      <w:r>
        <w:rPr>
          <w:rFonts w:hint="eastAsia"/>
        </w:rPr>
        <w:t>）によれば、</w:t>
      </w:r>
      <w:r w:rsidR="00735CD8">
        <w:rPr>
          <w:rFonts w:hint="eastAsia"/>
        </w:rPr>
        <w:t>宿泊税（宿泊代金の</w:t>
      </w:r>
      <w:r w:rsidR="00735CD8">
        <w:rPr>
          <w:rFonts w:hint="eastAsia"/>
        </w:rPr>
        <w:t>10%</w:t>
      </w:r>
      <w:r w:rsidR="00735CD8">
        <w:rPr>
          <w:rFonts w:hint="eastAsia"/>
        </w:rPr>
        <w:t>）の</w:t>
      </w:r>
      <w:r>
        <w:rPr>
          <w:rFonts w:hint="eastAsia"/>
        </w:rPr>
        <w:t>税収は年々増加しており、</w:t>
      </w:r>
      <w:r>
        <w:rPr>
          <w:rFonts w:hint="eastAsia"/>
        </w:rPr>
        <w:t>2013</w:t>
      </w:r>
      <w:r>
        <w:rPr>
          <w:rFonts w:hint="eastAsia"/>
        </w:rPr>
        <w:t>年は前年比で</w:t>
      </w:r>
      <w:r>
        <w:rPr>
          <w:rFonts w:hint="eastAsia"/>
        </w:rPr>
        <w:t>9.3%</w:t>
      </w:r>
      <w:r>
        <w:rPr>
          <w:rFonts w:hint="eastAsia"/>
        </w:rPr>
        <w:t>増加し、</w:t>
      </w:r>
      <w:r>
        <w:rPr>
          <w:rFonts w:hint="eastAsia"/>
        </w:rPr>
        <w:t>88.9</w:t>
      </w:r>
      <w:r>
        <w:rPr>
          <w:rFonts w:hint="eastAsia"/>
        </w:rPr>
        <w:t>百万ケツァルとなった。</w:t>
      </w:r>
      <w:r w:rsidR="007B1AE2">
        <w:rPr>
          <w:rFonts w:hint="eastAsia"/>
        </w:rPr>
        <w:t>また、</w:t>
      </w:r>
      <w:r w:rsidR="007B1AE2">
        <w:rPr>
          <w:rFonts w:hint="eastAsia"/>
        </w:rPr>
        <w:t>2014</w:t>
      </w:r>
      <w:r w:rsidR="007B1AE2">
        <w:rPr>
          <w:rFonts w:hint="eastAsia"/>
        </w:rPr>
        <w:t>年に入り、当国を訪れる観光客数が増加しており、</w:t>
      </w:r>
      <w:r w:rsidR="007B1AE2">
        <w:rPr>
          <w:rFonts w:hint="eastAsia"/>
        </w:rPr>
        <w:t>2</w:t>
      </w:r>
      <w:r w:rsidR="007B1AE2">
        <w:rPr>
          <w:rFonts w:hint="eastAsia"/>
        </w:rPr>
        <w:t>月末時点で</w:t>
      </w:r>
      <w:r w:rsidR="007B1AE2">
        <w:rPr>
          <w:rFonts w:hint="eastAsia"/>
        </w:rPr>
        <w:t>383,219</w:t>
      </w:r>
      <w:r w:rsidR="007B1AE2">
        <w:rPr>
          <w:rFonts w:hint="eastAsia"/>
        </w:rPr>
        <w:t>名が訪れ、前年同期比で</w:t>
      </w:r>
      <w:r w:rsidR="007B1AE2">
        <w:rPr>
          <w:rFonts w:hint="eastAsia"/>
        </w:rPr>
        <w:t>12%</w:t>
      </w:r>
      <w:r w:rsidR="007B1AE2">
        <w:rPr>
          <w:rFonts w:hint="eastAsia"/>
        </w:rPr>
        <w:t>増加した。</w:t>
      </w:r>
    </w:p>
    <w:p w:rsidR="00062E1F" w:rsidRDefault="00062E1F" w:rsidP="00E96ADD">
      <w:r>
        <w:rPr>
          <w:rFonts w:hint="eastAsia"/>
        </w:rPr>
        <w:t>（</w:t>
      </w:r>
      <w:r w:rsidR="00785EE4">
        <w:rPr>
          <w:rFonts w:hint="eastAsia"/>
        </w:rPr>
        <w:t>１０</w:t>
      </w:r>
      <w:r>
        <w:rPr>
          <w:rFonts w:hint="eastAsia"/>
        </w:rPr>
        <w:t>）ホンジュラスへの電力輸出の検討</w:t>
      </w:r>
    </w:p>
    <w:p w:rsidR="00062E1F" w:rsidRDefault="00062E1F" w:rsidP="00E96ADD">
      <w:r>
        <w:rPr>
          <w:rFonts w:hint="eastAsia"/>
        </w:rPr>
        <w:t xml:space="preserve">　当国の民間電力会社はホンジュラスへの電力供給を検討しており、</w:t>
      </w:r>
      <w:r>
        <w:rPr>
          <w:rFonts w:hint="eastAsia"/>
        </w:rPr>
        <w:t>2</w:t>
      </w:r>
      <w:r>
        <w:rPr>
          <w:rFonts w:hint="eastAsia"/>
        </w:rPr>
        <w:t>月末にホンジュラス関係者が当国を来訪し見積りについて議論した。</w:t>
      </w:r>
    </w:p>
    <w:p w:rsidR="002A7C6D" w:rsidRDefault="002A7C6D" w:rsidP="00E96ADD">
      <w:r>
        <w:rPr>
          <w:rFonts w:hint="eastAsia"/>
        </w:rPr>
        <w:t>（</w:t>
      </w:r>
      <w:r w:rsidR="00785EE4">
        <w:rPr>
          <w:rFonts w:hint="eastAsia"/>
        </w:rPr>
        <w:t>１１</w:t>
      </w:r>
      <w:r>
        <w:rPr>
          <w:rFonts w:hint="eastAsia"/>
        </w:rPr>
        <w:t>）鉱業の社会紛争リスク</w:t>
      </w:r>
    </w:p>
    <w:p w:rsidR="002A7C6D" w:rsidRDefault="002A7C6D" w:rsidP="002A7C6D">
      <w:pPr>
        <w:ind w:firstLineChars="100" w:firstLine="210"/>
      </w:pPr>
      <w:r>
        <w:rPr>
          <w:rFonts w:hint="eastAsia"/>
        </w:rPr>
        <w:t>中米財政研究所の調査によれば、鉱業が許可されている</w:t>
      </w:r>
      <w:r>
        <w:rPr>
          <w:rFonts w:hint="eastAsia"/>
        </w:rPr>
        <w:t>101</w:t>
      </w:r>
      <w:r>
        <w:rPr>
          <w:rFonts w:hint="eastAsia"/>
        </w:rPr>
        <w:t>市のうち</w:t>
      </w:r>
      <w:r>
        <w:rPr>
          <w:rFonts w:hint="eastAsia"/>
        </w:rPr>
        <w:t>78</w:t>
      </w:r>
      <w:r>
        <w:rPr>
          <w:rFonts w:hint="eastAsia"/>
        </w:rPr>
        <w:t>市において社会紛争が報告されている。鉱業は</w:t>
      </w:r>
      <w:r>
        <w:rPr>
          <w:rFonts w:hint="eastAsia"/>
        </w:rPr>
        <w:t>GDP</w:t>
      </w:r>
      <w:r>
        <w:rPr>
          <w:rFonts w:hint="eastAsia"/>
        </w:rPr>
        <w:t>の</w:t>
      </w:r>
      <w:r>
        <w:rPr>
          <w:rFonts w:hint="eastAsia"/>
        </w:rPr>
        <w:t>2.8%</w:t>
      </w:r>
      <w:r>
        <w:rPr>
          <w:rFonts w:hint="eastAsia"/>
        </w:rPr>
        <w:t>を占めるが環境悪化に反対する社会紛争が多発している。一方、農業は</w:t>
      </w:r>
      <w:r>
        <w:rPr>
          <w:rFonts w:hint="eastAsia"/>
        </w:rPr>
        <w:t>GDP</w:t>
      </w:r>
      <w:r>
        <w:rPr>
          <w:rFonts w:hint="eastAsia"/>
        </w:rPr>
        <w:t>の</w:t>
      </w:r>
      <w:r>
        <w:rPr>
          <w:rFonts w:hint="eastAsia"/>
        </w:rPr>
        <w:t>18%</w:t>
      </w:r>
      <w:r>
        <w:rPr>
          <w:rFonts w:hint="eastAsia"/>
        </w:rPr>
        <w:t>を占めるが社会紛争はほとんど起こっていない。</w:t>
      </w:r>
    </w:p>
    <w:p w:rsidR="002A7C6D" w:rsidRDefault="002A7C6D" w:rsidP="002A7C6D">
      <w:r>
        <w:rPr>
          <w:rFonts w:hint="eastAsia"/>
        </w:rPr>
        <w:t>（</w:t>
      </w:r>
      <w:r w:rsidR="00785EE4">
        <w:rPr>
          <w:rFonts w:hint="eastAsia"/>
        </w:rPr>
        <w:t>１２</w:t>
      </w:r>
      <w:r>
        <w:rPr>
          <w:rFonts w:hint="eastAsia"/>
        </w:rPr>
        <w:t>）経済特区の創設</w:t>
      </w:r>
    </w:p>
    <w:p w:rsidR="002A7C6D" w:rsidRDefault="002A7C6D" w:rsidP="002A7C6D">
      <w:pPr>
        <w:ind w:firstLineChars="100" w:firstLine="210"/>
        <w:rPr>
          <w:lang w:val="es-ES"/>
        </w:rPr>
      </w:pPr>
      <w:r>
        <w:rPr>
          <w:rFonts w:hint="eastAsia"/>
          <w:lang w:val="es-ES"/>
        </w:rPr>
        <w:t>コントレーラス労働社会保障相</w:t>
      </w:r>
      <w:r w:rsidR="00411247">
        <w:rPr>
          <w:rFonts w:hint="eastAsia"/>
          <w:lang w:val="es-ES"/>
        </w:rPr>
        <w:t>は</w:t>
      </w:r>
      <w:r>
        <w:rPr>
          <w:rFonts w:hint="eastAsia"/>
          <w:lang w:val="es-ES"/>
        </w:rPr>
        <w:t>、地方におけるフォーマルセクターの雇用を増やすため、経済特区の創設を決定した。現在、</w:t>
      </w:r>
      <w:r>
        <w:rPr>
          <w:rFonts w:hint="eastAsia"/>
          <w:lang w:val="es-ES"/>
        </w:rPr>
        <w:t>337</w:t>
      </w:r>
      <w:r>
        <w:rPr>
          <w:rFonts w:hint="eastAsia"/>
          <w:lang w:val="es-ES"/>
        </w:rPr>
        <w:t>市のうち、サン・アグスティン・アカサグアストラン市、グアスタトージャ市、エスタンスエラ市及びマサグア市の計</w:t>
      </w:r>
      <w:r>
        <w:rPr>
          <w:rFonts w:hint="eastAsia"/>
          <w:lang w:val="es-ES"/>
        </w:rPr>
        <w:t>4</w:t>
      </w:r>
      <w:r>
        <w:rPr>
          <w:rFonts w:hint="eastAsia"/>
          <w:lang w:val="es-ES"/>
        </w:rPr>
        <w:t>市のみが同イニシアティブに賛同している。</w:t>
      </w:r>
    </w:p>
    <w:p w:rsidR="008B31D0" w:rsidRDefault="008B31D0" w:rsidP="008B31D0">
      <w:pPr>
        <w:rPr>
          <w:lang w:val="es-ES"/>
        </w:rPr>
      </w:pPr>
      <w:r>
        <w:rPr>
          <w:rFonts w:hint="eastAsia"/>
          <w:lang w:val="es-ES"/>
        </w:rPr>
        <w:t>（</w:t>
      </w:r>
      <w:r w:rsidR="00785EE4">
        <w:rPr>
          <w:rFonts w:hint="eastAsia"/>
          <w:lang w:val="es-ES"/>
        </w:rPr>
        <w:t>１３</w:t>
      </w:r>
      <w:r>
        <w:rPr>
          <w:rFonts w:hint="eastAsia"/>
          <w:lang w:val="es-ES"/>
        </w:rPr>
        <w:t>）風力発電事業への融資</w:t>
      </w:r>
    </w:p>
    <w:p w:rsidR="008B31D0" w:rsidRDefault="008B31D0" w:rsidP="008B31D0">
      <w:pPr>
        <w:rPr>
          <w:lang w:val="es-ES"/>
        </w:rPr>
      </w:pPr>
      <w:r>
        <w:rPr>
          <w:rFonts w:hint="eastAsia"/>
          <w:lang w:val="es-ES"/>
        </w:rPr>
        <w:t xml:space="preserve">　中米経済統合銀行（</w:t>
      </w:r>
      <w:r>
        <w:rPr>
          <w:rFonts w:hint="eastAsia"/>
          <w:lang w:val="es-ES"/>
        </w:rPr>
        <w:t>BCIE</w:t>
      </w:r>
      <w:r>
        <w:rPr>
          <w:rFonts w:hint="eastAsia"/>
          <w:lang w:val="es-ES"/>
        </w:rPr>
        <w:t>）は当国における風力発電事業に対する</w:t>
      </w:r>
      <w:r>
        <w:rPr>
          <w:rFonts w:hint="eastAsia"/>
          <w:lang w:val="es-ES"/>
        </w:rPr>
        <w:t>50.7</w:t>
      </w:r>
      <w:r>
        <w:rPr>
          <w:rFonts w:hint="eastAsia"/>
          <w:lang w:val="es-ES"/>
        </w:rPr>
        <w:t>百万米ドルの融</w:t>
      </w:r>
      <w:r>
        <w:rPr>
          <w:rFonts w:hint="eastAsia"/>
          <w:lang w:val="es-ES"/>
        </w:rPr>
        <w:lastRenderedPageBreak/>
        <w:t>資を決定した。同事業は</w:t>
      </w:r>
      <w:r w:rsidR="006E2C7B">
        <w:rPr>
          <w:rFonts w:hint="eastAsia"/>
          <w:lang w:val="es-ES"/>
        </w:rPr>
        <w:t>グアテマラ県ビジャ・カナレス市に</w:t>
      </w:r>
      <w:r>
        <w:rPr>
          <w:rFonts w:hint="eastAsia"/>
          <w:lang w:val="es-ES"/>
        </w:rPr>
        <w:t>風力発電施設</w:t>
      </w:r>
      <w:r w:rsidR="006E2C7B">
        <w:rPr>
          <w:rFonts w:hint="eastAsia"/>
          <w:lang w:val="es-ES"/>
        </w:rPr>
        <w:t>（</w:t>
      </w:r>
      <w:r w:rsidR="006E2C7B">
        <w:rPr>
          <w:rFonts w:hint="eastAsia"/>
          <w:lang w:val="es-ES"/>
        </w:rPr>
        <w:t>50MW</w:t>
      </w:r>
      <w:r w:rsidR="006E2C7B">
        <w:rPr>
          <w:rFonts w:hint="eastAsia"/>
          <w:lang w:val="es-ES"/>
        </w:rPr>
        <w:t>）</w:t>
      </w:r>
      <w:r>
        <w:rPr>
          <w:rFonts w:hint="eastAsia"/>
          <w:lang w:val="es-ES"/>
        </w:rPr>
        <w:t>を</w:t>
      </w:r>
      <w:r w:rsidR="006E2C7B">
        <w:rPr>
          <w:rFonts w:hint="eastAsia"/>
          <w:lang w:val="es-ES"/>
        </w:rPr>
        <w:t>建設予定。</w:t>
      </w:r>
    </w:p>
    <w:p w:rsidR="00875B49" w:rsidRDefault="00875B49" w:rsidP="008B31D0">
      <w:pPr>
        <w:rPr>
          <w:lang w:val="es-ES"/>
        </w:rPr>
      </w:pPr>
      <w:r>
        <w:rPr>
          <w:rFonts w:hint="eastAsia"/>
          <w:lang w:val="es-ES"/>
        </w:rPr>
        <w:t>（</w:t>
      </w:r>
      <w:r w:rsidR="00785EE4">
        <w:rPr>
          <w:rFonts w:hint="eastAsia"/>
          <w:lang w:val="es-ES"/>
        </w:rPr>
        <w:t>１４</w:t>
      </w:r>
      <w:r>
        <w:rPr>
          <w:rFonts w:hint="eastAsia"/>
          <w:lang w:val="es-ES"/>
        </w:rPr>
        <w:t>）中国産鋼板のダンピング調査</w:t>
      </w:r>
    </w:p>
    <w:p w:rsidR="00875B49" w:rsidRPr="00875B49" w:rsidRDefault="00875B49" w:rsidP="008B31D0">
      <w:pPr>
        <w:rPr>
          <w:lang w:val="es-ES"/>
        </w:rPr>
      </w:pPr>
      <w:r>
        <w:rPr>
          <w:rFonts w:hint="eastAsia"/>
          <w:lang w:val="es-ES"/>
        </w:rPr>
        <w:t xml:space="preserve">　経済省は、中国産の鋼板を輸入する会社に対してダンピングの疑いで調査を開始した。</w:t>
      </w:r>
      <w:r>
        <w:rPr>
          <w:rFonts w:hint="eastAsia"/>
          <w:lang w:val="es-ES"/>
        </w:rPr>
        <w:t>2013</w:t>
      </w:r>
      <w:r>
        <w:rPr>
          <w:rFonts w:hint="eastAsia"/>
          <w:lang w:val="es-ES"/>
        </w:rPr>
        <w:t>年の中国産鉄鋼の輸入額は前年比で</w:t>
      </w:r>
      <w:r>
        <w:rPr>
          <w:rFonts w:hint="eastAsia"/>
          <w:lang w:val="es-ES"/>
        </w:rPr>
        <w:t>2</w:t>
      </w:r>
      <w:r>
        <w:rPr>
          <w:rFonts w:hint="eastAsia"/>
          <w:lang w:val="es-ES"/>
        </w:rPr>
        <w:t>倍以上増加している。</w:t>
      </w:r>
    </w:p>
    <w:p w:rsidR="004B74B8" w:rsidRDefault="00306F9C" w:rsidP="009079F3">
      <w:r>
        <w:rPr>
          <w:rFonts w:hint="eastAsia"/>
        </w:rPr>
        <w:t>（</w:t>
      </w:r>
      <w:r w:rsidR="00785EE4">
        <w:rPr>
          <w:rFonts w:hint="eastAsia"/>
        </w:rPr>
        <w:t>１５</w:t>
      </w:r>
      <w:r>
        <w:rPr>
          <w:rFonts w:hint="eastAsia"/>
        </w:rPr>
        <w:t>）インフレ率の低下</w:t>
      </w:r>
    </w:p>
    <w:p w:rsidR="00306F9C" w:rsidRDefault="00306F9C" w:rsidP="009079F3">
      <w:r>
        <w:rPr>
          <w:rFonts w:hint="eastAsia"/>
        </w:rPr>
        <w:t xml:space="preserve">　当国のインフレ率は</w:t>
      </w:r>
      <w:r>
        <w:rPr>
          <w:rFonts w:hint="eastAsia"/>
        </w:rPr>
        <w:t>2013</w:t>
      </w:r>
      <w:r>
        <w:rPr>
          <w:rFonts w:hint="eastAsia"/>
        </w:rPr>
        <w:t>年</w:t>
      </w:r>
      <w:r>
        <w:rPr>
          <w:rFonts w:hint="eastAsia"/>
        </w:rPr>
        <w:t>2</w:t>
      </w:r>
      <w:r>
        <w:rPr>
          <w:rFonts w:hint="eastAsia"/>
        </w:rPr>
        <w:t>月以降、</w:t>
      </w:r>
      <w:r>
        <w:rPr>
          <w:rFonts w:hint="eastAsia"/>
        </w:rPr>
        <w:t>4%</w:t>
      </w:r>
      <w:r>
        <w:rPr>
          <w:rFonts w:hint="eastAsia"/>
        </w:rPr>
        <w:t>を超える高い水準で推移していたが、</w:t>
      </w:r>
      <w:r>
        <w:rPr>
          <w:rFonts w:hint="eastAsia"/>
        </w:rPr>
        <w:t>2014</w:t>
      </w:r>
      <w:r>
        <w:rPr>
          <w:rFonts w:hint="eastAsia"/>
        </w:rPr>
        <w:t>年</w:t>
      </w:r>
      <w:r>
        <w:rPr>
          <w:rFonts w:hint="eastAsia"/>
        </w:rPr>
        <w:t>2</w:t>
      </w:r>
      <w:r>
        <w:rPr>
          <w:rFonts w:hint="eastAsia"/>
        </w:rPr>
        <w:t>月は</w:t>
      </w:r>
      <w:r>
        <w:rPr>
          <w:rFonts w:hint="eastAsia"/>
        </w:rPr>
        <w:t>3.5%</w:t>
      </w:r>
      <w:r>
        <w:rPr>
          <w:rFonts w:hint="eastAsia"/>
        </w:rPr>
        <w:t>に低下し、物価上昇のスピードが緩和した。</w:t>
      </w:r>
    </w:p>
    <w:p w:rsidR="00555B85" w:rsidRDefault="00555B85" w:rsidP="009079F3">
      <w:r>
        <w:rPr>
          <w:rFonts w:hint="eastAsia"/>
          <w:noProof/>
        </w:rPr>
        <w:drawing>
          <wp:inline distT="0" distB="0" distL="0" distR="0">
            <wp:extent cx="5404104" cy="2212848"/>
            <wp:effectExtent l="0" t="0" r="635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06F9C" w:rsidRDefault="00555B85" w:rsidP="00555B85">
      <w:pPr>
        <w:jc w:val="right"/>
      </w:pPr>
      <w:r>
        <w:rPr>
          <w:rFonts w:hint="eastAsia"/>
        </w:rPr>
        <w:t>（出所：国立統計局）</w:t>
      </w:r>
    </w:p>
    <w:p w:rsidR="00555B85" w:rsidRDefault="00760CB5" w:rsidP="009079F3">
      <w:r>
        <w:rPr>
          <w:rFonts w:hint="eastAsia"/>
        </w:rPr>
        <w:t>（</w:t>
      </w:r>
      <w:r w:rsidR="00785EE4">
        <w:rPr>
          <w:rFonts w:hint="eastAsia"/>
        </w:rPr>
        <w:t>１６</w:t>
      </w:r>
      <w:r>
        <w:rPr>
          <w:rFonts w:hint="eastAsia"/>
        </w:rPr>
        <w:t>）政策金利の引下げ</w:t>
      </w:r>
    </w:p>
    <w:p w:rsidR="00760CB5" w:rsidRDefault="00760CB5" w:rsidP="009079F3">
      <w:r>
        <w:rPr>
          <w:rFonts w:hint="eastAsia"/>
        </w:rPr>
        <w:t xml:space="preserve">　</w:t>
      </w:r>
      <w:r>
        <w:rPr>
          <w:rFonts w:hint="eastAsia"/>
        </w:rPr>
        <w:t>26</w:t>
      </w:r>
      <w:r>
        <w:rPr>
          <w:rFonts w:hint="eastAsia"/>
        </w:rPr>
        <w:t>日、中央銀行は政策金利を</w:t>
      </w:r>
      <w:r>
        <w:rPr>
          <w:rFonts w:hint="eastAsia"/>
        </w:rPr>
        <w:t>5.00%</w:t>
      </w:r>
      <w:r>
        <w:rPr>
          <w:rFonts w:hint="eastAsia"/>
        </w:rPr>
        <w:t>から</w:t>
      </w:r>
      <w:r>
        <w:rPr>
          <w:rFonts w:hint="eastAsia"/>
        </w:rPr>
        <w:t>4.75%</w:t>
      </w:r>
      <w:r w:rsidR="00411247">
        <w:rPr>
          <w:rFonts w:hint="eastAsia"/>
        </w:rPr>
        <w:t>に引き下げる旨発表した。バルキン中銀総裁は</w:t>
      </w:r>
      <w:r>
        <w:rPr>
          <w:rFonts w:hint="eastAsia"/>
        </w:rPr>
        <w:t>、世界経済の動向といった外部環境が未だ回復の時期にあると判断したため、今回の決定に至ったと説明した。</w:t>
      </w:r>
    </w:p>
    <w:p w:rsidR="00760CB5" w:rsidRDefault="00760CB5" w:rsidP="009079F3"/>
    <w:p w:rsidR="00887760" w:rsidRPr="00BC1D2F" w:rsidRDefault="00887760" w:rsidP="00887760">
      <w:pPr>
        <w:jc w:val="left"/>
        <w:rPr>
          <w:szCs w:val="21"/>
        </w:rPr>
      </w:pPr>
      <w:r>
        <w:rPr>
          <w:rFonts w:hint="eastAsia"/>
          <w:szCs w:val="21"/>
        </w:rPr>
        <w:t>◇主要経済指標◇</w:t>
      </w:r>
    </w:p>
    <w:tbl>
      <w:tblPr>
        <w:tblW w:w="8773" w:type="dxa"/>
        <w:tblInd w:w="84" w:type="dxa"/>
        <w:tblCellMar>
          <w:left w:w="99" w:type="dxa"/>
          <w:right w:w="99" w:type="dxa"/>
        </w:tblCellMar>
        <w:tblLook w:val="04A0" w:firstRow="1" w:lastRow="0" w:firstColumn="1" w:lastColumn="0" w:noHBand="0" w:noVBand="1"/>
      </w:tblPr>
      <w:tblGrid>
        <w:gridCol w:w="2709"/>
        <w:gridCol w:w="1275"/>
        <w:gridCol w:w="1264"/>
        <w:gridCol w:w="1146"/>
        <w:gridCol w:w="1169"/>
        <w:gridCol w:w="1210"/>
      </w:tblGrid>
      <w:tr w:rsidR="00887760" w:rsidRPr="00887760" w:rsidTr="002557CB">
        <w:trPr>
          <w:trHeight w:val="270"/>
        </w:trPr>
        <w:tc>
          <w:tcPr>
            <w:tcW w:w="2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87760" w:rsidRPr="00887760" w:rsidRDefault="00887760" w:rsidP="00887760">
            <w:pPr>
              <w:widowControl/>
              <w:jc w:val="lef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 xml:space="preserve">　</w:t>
            </w:r>
          </w:p>
        </w:tc>
        <w:tc>
          <w:tcPr>
            <w:tcW w:w="368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Cs w:val="21"/>
              </w:rPr>
            </w:pPr>
            <w:r w:rsidRPr="00887760">
              <w:rPr>
                <w:rFonts w:ascii="ＭＳ Ｐゴシック" w:eastAsia="ＭＳ Ｐゴシック" w:hAnsi="ＭＳ Ｐゴシック" w:cs="ＭＳ Ｐゴシック" w:hint="eastAsia"/>
                <w:b/>
                <w:bCs/>
                <w:color w:val="000000"/>
                <w:kern w:val="0"/>
                <w:szCs w:val="21"/>
              </w:rPr>
              <w:t>2014年</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Cs w:val="21"/>
              </w:rPr>
            </w:pPr>
            <w:r w:rsidRPr="00887760">
              <w:rPr>
                <w:rFonts w:ascii="ＭＳ Ｐゴシック" w:eastAsia="ＭＳ Ｐゴシック" w:hAnsi="ＭＳ Ｐゴシック" w:cs="ＭＳ Ｐゴシック" w:hint="eastAsia"/>
                <w:b/>
                <w:bCs/>
                <w:color w:val="000000"/>
                <w:kern w:val="0"/>
                <w:szCs w:val="21"/>
              </w:rPr>
              <w:t>2013年</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Cs w:val="21"/>
              </w:rPr>
            </w:pPr>
            <w:r w:rsidRPr="00887760">
              <w:rPr>
                <w:rFonts w:ascii="ＭＳ Ｐゴシック" w:eastAsia="ＭＳ Ｐゴシック" w:hAnsi="ＭＳ Ｐゴシック" w:cs="ＭＳ Ｐゴシック" w:hint="eastAsia"/>
                <w:b/>
                <w:bCs/>
                <w:color w:val="000000"/>
                <w:kern w:val="0"/>
                <w:szCs w:val="21"/>
              </w:rPr>
              <w:t>2012年</w:t>
            </w:r>
          </w:p>
        </w:tc>
      </w:tr>
      <w:tr w:rsidR="00887760" w:rsidRPr="00887760" w:rsidTr="002557CB">
        <w:trPr>
          <w:trHeight w:val="270"/>
        </w:trPr>
        <w:tc>
          <w:tcPr>
            <w:tcW w:w="2709" w:type="dxa"/>
            <w:vMerge/>
            <w:tcBorders>
              <w:top w:val="single" w:sz="4" w:space="0" w:color="auto"/>
              <w:left w:val="single" w:sz="4" w:space="0" w:color="auto"/>
              <w:bottom w:val="single" w:sz="4" w:space="0" w:color="000000"/>
              <w:right w:val="single" w:sz="4" w:space="0" w:color="auto"/>
            </w:tcBorders>
            <w:vAlign w:val="center"/>
            <w:hideMark/>
          </w:tcPr>
          <w:p w:rsidR="00887760" w:rsidRPr="00887760" w:rsidRDefault="00887760" w:rsidP="00887760">
            <w:pPr>
              <w:widowControl/>
              <w:jc w:val="left"/>
              <w:rPr>
                <w:rFonts w:ascii="ＭＳ Ｐゴシック" w:eastAsia="ＭＳ Ｐゴシック" w:hAnsi="ＭＳ Ｐゴシック" w:cs="ＭＳ Ｐゴシック"/>
                <w:color w:val="000000"/>
                <w:kern w:val="0"/>
                <w:sz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 w:val="22"/>
              </w:rPr>
            </w:pPr>
            <w:r w:rsidRPr="00887760">
              <w:rPr>
                <w:rFonts w:ascii="ＭＳ Ｐゴシック" w:eastAsia="ＭＳ Ｐゴシック" w:hAnsi="ＭＳ Ｐゴシック" w:cs="ＭＳ Ｐゴシック" w:hint="eastAsia"/>
                <w:b/>
                <w:bCs/>
                <w:color w:val="000000"/>
                <w:kern w:val="0"/>
                <w:sz w:val="22"/>
              </w:rPr>
              <w:t>3月</w:t>
            </w:r>
          </w:p>
        </w:tc>
        <w:tc>
          <w:tcPr>
            <w:tcW w:w="1264"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 w:val="22"/>
              </w:rPr>
            </w:pPr>
            <w:r w:rsidRPr="00887760">
              <w:rPr>
                <w:rFonts w:ascii="ＭＳ Ｐゴシック" w:eastAsia="ＭＳ Ｐゴシック" w:hAnsi="ＭＳ Ｐゴシック" w:cs="ＭＳ Ｐゴシック" w:hint="eastAsia"/>
                <w:b/>
                <w:bCs/>
                <w:color w:val="000000"/>
                <w:kern w:val="0"/>
                <w:sz w:val="22"/>
              </w:rPr>
              <w:t>2月</w:t>
            </w:r>
          </w:p>
        </w:tc>
        <w:tc>
          <w:tcPr>
            <w:tcW w:w="1146"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 w:val="22"/>
              </w:rPr>
            </w:pPr>
            <w:r w:rsidRPr="00887760">
              <w:rPr>
                <w:rFonts w:ascii="ＭＳ Ｐゴシック" w:eastAsia="ＭＳ Ｐゴシック" w:hAnsi="ＭＳ Ｐゴシック" w:cs="ＭＳ Ｐゴシック" w:hint="eastAsia"/>
                <w:b/>
                <w:bCs/>
                <w:color w:val="000000"/>
                <w:kern w:val="0"/>
                <w:sz w:val="22"/>
              </w:rPr>
              <w:t>1月</w:t>
            </w: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887760" w:rsidRPr="00887760" w:rsidRDefault="00887760" w:rsidP="00887760">
            <w:pPr>
              <w:widowControl/>
              <w:jc w:val="left"/>
              <w:rPr>
                <w:rFonts w:ascii="ＭＳ Ｐゴシック" w:eastAsia="ＭＳ Ｐゴシック" w:hAnsi="ＭＳ Ｐゴシック" w:cs="ＭＳ Ｐゴシック"/>
                <w:b/>
                <w:bCs/>
                <w:color w:val="000000"/>
                <w:kern w:val="0"/>
                <w:szCs w:val="21"/>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887760" w:rsidRPr="00887760" w:rsidRDefault="00887760" w:rsidP="00887760">
            <w:pPr>
              <w:widowControl/>
              <w:jc w:val="left"/>
              <w:rPr>
                <w:rFonts w:ascii="ＭＳ Ｐゴシック" w:eastAsia="ＭＳ Ｐゴシック" w:hAnsi="ＭＳ Ｐゴシック" w:cs="ＭＳ Ｐゴシック"/>
                <w:b/>
                <w:bCs/>
                <w:color w:val="000000"/>
                <w:kern w:val="0"/>
                <w:szCs w:val="21"/>
              </w:rPr>
            </w:pPr>
          </w:p>
        </w:tc>
      </w:tr>
      <w:tr w:rsidR="00887760" w:rsidRPr="00887760" w:rsidTr="002557CB">
        <w:trPr>
          <w:trHeight w:val="27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887760" w:rsidRPr="00887760" w:rsidRDefault="00887760" w:rsidP="00887760">
            <w:pPr>
              <w:widowControl/>
              <w:jc w:val="left"/>
              <w:rPr>
                <w:rFonts w:ascii="ＭＳ Ｐゴシック" w:eastAsia="ＭＳ Ｐゴシック" w:hAnsi="ＭＳ Ｐゴシック" w:cs="ＭＳ Ｐゴシック"/>
                <w:b/>
                <w:bCs/>
                <w:color w:val="000000"/>
                <w:kern w:val="0"/>
                <w:sz w:val="22"/>
              </w:rPr>
            </w:pPr>
            <w:r w:rsidRPr="00887760">
              <w:rPr>
                <w:rFonts w:ascii="ＭＳ Ｐゴシック" w:eastAsia="ＭＳ Ｐゴシック" w:hAnsi="ＭＳ Ｐゴシック" w:cs="ＭＳ Ｐゴシック" w:hint="eastAsia"/>
                <w:b/>
                <w:bCs/>
                <w:color w:val="000000"/>
                <w:kern w:val="0"/>
                <w:szCs w:val="21"/>
              </w:rPr>
              <w:t>インフレ率 （</w:t>
            </w:r>
            <w:r w:rsidRPr="00887760">
              <w:rPr>
                <w:rFonts w:ascii="ＭＳ Ｐゴシック" w:eastAsia="ＭＳ Ｐゴシック" w:hAnsi="ＭＳ Ｐゴシック" w:cs="ＭＳ Ｐゴシック" w:hint="eastAsia"/>
                <w:b/>
                <w:bCs/>
                <w:color w:val="000000"/>
                <w:kern w:val="0"/>
                <w:sz w:val="18"/>
                <w:szCs w:val="18"/>
              </w:rPr>
              <w:t>前年同月比）</w:t>
            </w:r>
          </w:p>
        </w:tc>
        <w:tc>
          <w:tcPr>
            <w:tcW w:w="1275"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 w:val="16"/>
                <w:szCs w:val="16"/>
              </w:rPr>
            </w:pPr>
            <w:r w:rsidRPr="00887760">
              <w:rPr>
                <w:rFonts w:ascii="ＭＳ Ｐゴシック" w:eastAsia="ＭＳ Ｐゴシック" w:hAnsi="ＭＳ Ｐゴシック" w:cs="ＭＳ Ｐゴシック" w:hint="eastAsia"/>
                <w:b/>
                <w:bCs/>
                <w:color w:val="000000"/>
                <w:kern w:val="0"/>
                <w:sz w:val="16"/>
                <w:szCs w:val="16"/>
              </w:rPr>
              <w:t>未発表</w:t>
            </w:r>
          </w:p>
        </w:tc>
        <w:tc>
          <w:tcPr>
            <w:tcW w:w="1264"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3.50%</w:t>
            </w:r>
          </w:p>
        </w:tc>
        <w:tc>
          <w:tcPr>
            <w:tcW w:w="1146"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4.14%</w:t>
            </w:r>
          </w:p>
        </w:tc>
        <w:tc>
          <w:tcPr>
            <w:tcW w:w="1169"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4.39%</w:t>
            </w:r>
          </w:p>
        </w:tc>
        <w:tc>
          <w:tcPr>
            <w:tcW w:w="1210"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3.45%</w:t>
            </w:r>
          </w:p>
        </w:tc>
      </w:tr>
      <w:tr w:rsidR="00887760" w:rsidRPr="00887760" w:rsidTr="002557CB">
        <w:trPr>
          <w:trHeight w:val="27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887760" w:rsidRPr="00887760" w:rsidRDefault="00887760" w:rsidP="00887760">
            <w:pPr>
              <w:widowControl/>
              <w:jc w:val="left"/>
              <w:rPr>
                <w:rFonts w:ascii="ＭＳ Ｐゴシック" w:eastAsia="ＭＳ Ｐゴシック" w:hAnsi="ＭＳ Ｐゴシック" w:cs="ＭＳ Ｐゴシック"/>
                <w:b/>
                <w:bCs/>
                <w:color w:val="000000"/>
                <w:kern w:val="0"/>
                <w:sz w:val="22"/>
              </w:rPr>
            </w:pPr>
            <w:r w:rsidRPr="00887760">
              <w:rPr>
                <w:rFonts w:ascii="ＭＳ Ｐゴシック" w:eastAsia="ＭＳ Ｐゴシック" w:hAnsi="ＭＳ Ｐゴシック" w:cs="ＭＳ Ｐゴシック" w:hint="eastAsia"/>
                <w:b/>
                <w:bCs/>
                <w:color w:val="000000"/>
                <w:kern w:val="0"/>
                <w:sz w:val="22"/>
              </w:rPr>
              <w:t>貿易収支（百万ドル）</w:t>
            </w:r>
          </w:p>
        </w:tc>
        <w:tc>
          <w:tcPr>
            <w:tcW w:w="1275"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 w:val="16"/>
                <w:szCs w:val="16"/>
              </w:rPr>
            </w:pPr>
            <w:r w:rsidRPr="00887760">
              <w:rPr>
                <w:rFonts w:ascii="ＭＳ Ｐゴシック" w:eastAsia="ＭＳ Ｐゴシック" w:hAnsi="ＭＳ Ｐゴシック" w:cs="ＭＳ Ｐゴシック" w:hint="eastAsia"/>
                <w:b/>
                <w:bCs/>
                <w:color w:val="000000"/>
                <w:kern w:val="0"/>
                <w:sz w:val="16"/>
                <w:szCs w:val="16"/>
              </w:rPr>
              <w:t>未発表</w:t>
            </w:r>
          </w:p>
        </w:tc>
        <w:tc>
          <w:tcPr>
            <w:tcW w:w="1264"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 w:val="16"/>
                <w:szCs w:val="16"/>
              </w:rPr>
            </w:pPr>
            <w:r w:rsidRPr="00887760">
              <w:rPr>
                <w:rFonts w:ascii="ＭＳ Ｐゴシック" w:eastAsia="ＭＳ Ｐゴシック" w:hAnsi="ＭＳ Ｐゴシック" w:cs="ＭＳ Ｐゴシック" w:hint="eastAsia"/>
                <w:b/>
                <w:bCs/>
                <w:color w:val="000000"/>
                <w:kern w:val="0"/>
                <w:sz w:val="16"/>
                <w:szCs w:val="16"/>
              </w:rPr>
              <w:t>未発表</w:t>
            </w:r>
          </w:p>
        </w:tc>
        <w:tc>
          <w:tcPr>
            <w:tcW w:w="1146"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△649.73</w:t>
            </w:r>
          </w:p>
        </w:tc>
        <w:tc>
          <w:tcPr>
            <w:tcW w:w="1169"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△7,347.5</w:t>
            </w:r>
          </w:p>
        </w:tc>
        <w:tc>
          <w:tcPr>
            <w:tcW w:w="1210"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△7,008.5</w:t>
            </w:r>
          </w:p>
        </w:tc>
      </w:tr>
      <w:tr w:rsidR="00887760" w:rsidRPr="00887760" w:rsidTr="002557CB">
        <w:trPr>
          <w:trHeight w:val="27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887760" w:rsidRPr="00887760" w:rsidRDefault="00887760" w:rsidP="00887760">
            <w:pPr>
              <w:widowControl/>
              <w:jc w:val="left"/>
              <w:rPr>
                <w:rFonts w:ascii="ＭＳ Ｐゴシック" w:eastAsia="ＭＳ Ｐゴシック" w:hAnsi="ＭＳ Ｐゴシック" w:cs="ＭＳ Ｐゴシック"/>
                <w:b/>
                <w:bCs/>
                <w:color w:val="000000"/>
                <w:kern w:val="0"/>
                <w:sz w:val="22"/>
              </w:rPr>
            </w:pPr>
            <w:r w:rsidRPr="00887760">
              <w:rPr>
                <w:rFonts w:ascii="ＭＳ Ｐゴシック" w:eastAsia="ＭＳ Ｐゴシック" w:hAnsi="ＭＳ Ｐゴシック" w:cs="ＭＳ Ｐゴシック" w:hint="eastAsia"/>
                <w:b/>
                <w:bCs/>
                <w:color w:val="000000"/>
                <w:kern w:val="0"/>
                <w:sz w:val="22"/>
              </w:rPr>
              <w:t>輸出（百万ドル）</w:t>
            </w:r>
          </w:p>
        </w:tc>
        <w:tc>
          <w:tcPr>
            <w:tcW w:w="1275"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 w:val="16"/>
                <w:szCs w:val="16"/>
              </w:rPr>
            </w:pPr>
            <w:r w:rsidRPr="00887760">
              <w:rPr>
                <w:rFonts w:ascii="ＭＳ Ｐゴシック" w:eastAsia="ＭＳ Ｐゴシック" w:hAnsi="ＭＳ Ｐゴシック" w:cs="ＭＳ Ｐゴシック" w:hint="eastAsia"/>
                <w:b/>
                <w:bCs/>
                <w:color w:val="000000"/>
                <w:kern w:val="0"/>
                <w:sz w:val="16"/>
                <w:szCs w:val="16"/>
              </w:rPr>
              <w:t>未発表</w:t>
            </w:r>
          </w:p>
        </w:tc>
        <w:tc>
          <w:tcPr>
            <w:tcW w:w="1264"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 w:val="16"/>
                <w:szCs w:val="16"/>
              </w:rPr>
            </w:pPr>
            <w:r w:rsidRPr="00887760">
              <w:rPr>
                <w:rFonts w:ascii="ＭＳ Ｐゴシック" w:eastAsia="ＭＳ Ｐゴシック" w:hAnsi="ＭＳ Ｐゴシック" w:cs="ＭＳ Ｐゴシック" w:hint="eastAsia"/>
                <w:b/>
                <w:bCs/>
                <w:color w:val="000000"/>
                <w:kern w:val="0"/>
                <w:sz w:val="16"/>
                <w:szCs w:val="16"/>
              </w:rPr>
              <w:t>未発表</w:t>
            </w:r>
          </w:p>
        </w:tc>
        <w:tc>
          <w:tcPr>
            <w:tcW w:w="1146"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895.9</w:t>
            </w:r>
          </w:p>
        </w:tc>
        <w:tc>
          <w:tcPr>
            <w:tcW w:w="1169"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10,162.2</w:t>
            </w:r>
          </w:p>
        </w:tc>
        <w:tc>
          <w:tcPr>
            <w:tcW w:w="1210"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9,985.3</w:t>
            </w:r>
          </w:p>
        </w:tc>
      </w:tr>
      <w:tr w:rsidR="00887760" w:rsidRPr="00887760" w:rsidTr="002557CB">
        <w:trPr>
          <w:trHeight w:val="27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887760" w:rsidRPr="00887760" w:rsidRDefault="00887760" w:rsidP="00887760">
            <w:pPr>
              <w:widowControl/>
              <w:jc w:val="left"/>
              <w:rPr>
                <w:rFonts w:ascii="ＭＳ Ｐゴシック" w:eastAsia="ＭＳ Ｐゴシック" w:hAnsi="ＭＳ Ｐゴシック" w:cs="ＭＳ Ｐゴシック"/>
                <w:b/>
                <w:bCs/>
                <w:color w:val="000000"/>
                <w:kern w:val="0"/>
                <w:sz w:val="22"/>
              </w:rPr>
            </w:pPr>
            <w:r w:rsidRPr="00887760">
              <w:rPr>
                <w:rFonts w:ascii="ＭＳ Ｐゴシック" w:eastAsia="ＭＳ Ｐゴシック" w:hAnsi="ＭＳ Ｐゴシック" w:cs="ＭＳ Ｐゴシック" w:hint="eastAsia"/>
                <w:b/>
                <w:bCs/>
                <w:color w:val="000000"/>
                <w:kern w:val="0"/>
                <w:sz w:val="22"/>
              </w:rPr>
              <w:t>輸入（百万ドル）</w:t>
            </w:r>
          </w:p>
        </w:tc>
        <w:tc>
          <w:tcPr>
            <w:tcW w:w="1275"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 w:val="16"/>
                <w:szCs w:val="16"/>
              </w:rPr>
            </w:pPr>
            <w:r w:rsidRPr="00887760">
              <w:rPr>
                <w:rFonts w:ascii="ＭＳ Ｐゴシック" w:eastAsia="ＭＳ Ｐゴシック" w:hAnsi="ＭＳ Ｐゴシック" w:cs="ＭＳ Ｐゴシック" w:hint="eastAsia"/>
                <w:b/>
                <w:bCs/>
                <w:color w:val="000000"/>
                <w:kern w:val="0"/>
                <w:sz w:val="16"/>
                <w:szCs w:val="16"/>
              </w:rPr>
              <w:t>未発表</w:t>
            </w:r>
          </w:p>
        </w:tc>
        <w:tc>
          <w:tcPr>
            <w:tcW w:w="1264"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 w:val="16"/>
                <w:szCs w:val="16"/>
              </w:rPr>
            </w:pPr>
            <w:r w:rsidRPr="00887760">
              <w:rPr>
                <w:rFonts w:ascii="ＭＳ Ｐゴシック" w:eastAsia="ＭＳ Ｐゴシック" w:hAnsi="ＭＳ Ｐゴシック" w:cs="ＭＳ Ｐゴシック" w:hint="eastAsia"/>
                <w:b/>
                <w:bCs/>
                <w:color w:val="000000"/>
                <w:kern w:val="0"/>
                <w:sz w:val="16"/>
                <w:szCs w:val="16"/>
              </w:rPr>
              <w:t>未発表</w:t>
            </w:r>
          </w:p>
        </w:tc>
        <w:tc>
          <w:tcPr>
            <w:tcW w:w="1146"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1</w:t>
            </w:r>
            <w:r w:rsidR="002532BE">
              <w:rPr>
                <w:rFonts w:ascii="ＭＳ Ｐゴシック" w:eastAsia="ＭＳ Ｐゴシック" w:hAnsi="ＭＳ Ｐゴシック" w:cs="ＭＳ Ｐゴシック" w:hint="eastAsia"/>
                <w:color w:val="000000"/>
                <w:kern w:val="0"/>
                <w:sz w:val="22"/>
              </w:rPr>
              <w:t>,</w:t>
            </w:r>
            <w:r w:rsidRPr="00887760">
              <w:rPr>
                <w:rFonts w:ascii="ＭＳ Ｐゴシック" w:eastAsia="ＭＳ Ｐゴシック" w:hAnsi="ＭＳ Ｐゴシック" w:cs="ＭＳ Ｐゴシック" w:hint="eastAsia"/>
                <w:color w:val="000000"/>
                <w:kern w:val="0"/>
                <w:sz w:val="22"/>
              </w:rPr>
              <w:t>545.7</w:t>
            </w:r>
          </w:p>
        </w:tc>
        <w:tc>
          <w:tcPr>
            <w:tcW w:w="1169"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17,509.7</w:t>
            </w:r>
          </w:p>
        </w:tc>
        <w:tc>
          <w:tcPr>
            <w:tcW w:w="1210"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16,994.4</w:t>
            </w:r>
          </w:p>
        </w:tc>
      </w:tr>
      <w:tr w:rsidR="00887760" w:rsidRPr="00887760" w:rsidTr="002557CB">
        <w:trPr>
          <w:trHeight w:val="27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887760" w:rsidRPr="00887760" w:rsidRDefault="00887760" w:rsidP="00887760">
            <w:pPr>
              <w:widowControl/>
              <w:jc w:val="left"/>
              <w:rPr>
                <w:rFonts w:ascii="ＭＳ Ｐゴシック" w:eastAsia="ＭＳ Ｐゴシック" w:hAnsi="ＭＳ Ｐゴシック" w:cs="ＭＳ Ｐゴシック"/>
                <w:b/>
                <w:bCs/>
                <w:color w:val="000000"/>
                <w:kern w:val="0"/>
                <w:szCs w:val="21"/>
              </w:rPr>
            </w:pPr>
            <w:r w:rsidRPr="00887760">
              <w:rPr>
                <w:rFonts w:ascii="ＭＳ Ｐゴシック" w:eastAsia="ＭＳ Ｐゴシック" w:hAnsi="ＭＳ Ｐゴシック" w:cs="ＭＳ Ｐゴシック" w:hint="eastAsia"/>
                <w:b/>
                <w:bCs/>
                <w:color w:val="000000"/>
                <w:kern w:val="0"/>
                <w:szCs w:val="21"/>
              </w:rPr>
              <w:t xml:space="preserve">外貨準備高 </w:t>
            </w:r>
            <w:r w:rsidRPr="00887760">
              <w:rPr>
                <w:rFonts w:ascii="ＭＳ Ｐゴシック" w:eastAsia="ＭＳ Ｐゴシック" w:hAnsi="ＭＳ Ｐゴシック" w:cs="ＭＳ Ｐゴシック" w:hint="eastAsia"/>
                <w:b/>
                <w:bCs/>
                <w:color w:val="000000"/>
                <w:kern w:val="0"/>
                <w:sz w:val="18"/>
                <w:szCs w:val="18"/>
              </w:rPr>
              <w:t>（百万ドル）</w:t>
            </w:r>
          </w:p>
        </w:tc>
        <w:tc>
          <w:tcPr>
            <w:tcW w:w="1275"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7,074.4</w:t>
            </w:r>
          </w:p>
        </w:tc>
        <w:tc>
          <w:tcPr>
            <w:tcW w:w="1264"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7,163.9</w:t>
            </w:r>
          </w:p>
        </w:tc>
        <w:tc>
          <w:tcPr>
            <w:tcW w:w="1146"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7</w:t>
            </w:r>
            <w:r w:rsidR="002532BE">
              <w:rPr>
                <w:rFonts w:ascii="ＭＳ Ｐゴシック" w:eastAsia="ＭＳ Ｐゴシック" w:hAnsi="ＭＳ Ｐゴシック" w:cs="ＭＳ Ｐゴシック" w:hint="eastAsia"/>
                <w:color w:val="000000"/>
                <w:kern w:val="0"/>
                <w:sz w:val="22"/>
              </w:rPr>
              <w:t>,</w:t>
            </w:r>
            <w:r w:rsidRPr="00887760">
              <w:rPr>
                <w:rFonts w:ascii="ＭＳ Ｐゴシック" w:eastAsia="ＭＳ Ｐゴシック" w:hAnsi="ＭＳ Ｐゴシック" w:cs="ＭＳ Ｐゴシック" w:hint="eastAsia"/>
                <w:color w:val="000000"/>
                <w:kern w:val="0"/>
                <w:sz w:val="22"/>
              </w:rPr>
              <w:t>164.6</w:t>
            </w:r>
          </w:p>
        </w:tc>
        <w:tc>
          <w:tcPr>
            <w:tcW w:w="1169"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7,272.6</w:t>
            </w:r>
          </w:p>
        </w:tc>
        <w:tc>
          <w:tcPr>
            <w:tcW w:w="1210"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6,711.2</w:t>
            </w:r>
          </w:p>
        </w:tc>
      </w:tr>
      <w:tr w:rsidR="00887760" w:rsidRPr="00887760" w:rsidTr="002557CB">
        <w:trPr>
          <w:trHeight w:val="27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887760" w:rsidRPr="00887760" w:rsidRDefault="00887760" w:rsidP="00887760">
            <w:pPr>
              <w:widowControl/>
              <w:jc w:val="left"/>
              <w:rPr>
                <w:rFonts w:ascii="ＭＳ Ｐゴシック" w:eastAsia="ＭＳ Ｐゴシック" w:hAnsi="ＭＳ Ｐゴシック" w:cs="ＭＳ Ｐゴシック"/>
                <w:b/>
                <w:bCs/>
                <w:color w:val="000000"/>
                <w:kern w:val="0"/>
                <w:szCs w:val="21"/>
              </w:rPr>
            </w:pPr>
            <w:r w:rsidRPr="00887760">
              <w:rPr>
                <w:rFonts w:ascii="ＭＳ Ｐゴシック" w:eastAsia="ＭＳ Ｐゴシック" w:hAnsi="ＭＳ Ｐゴシック" w:cs="ＭＳ Ｐゴシック" w:hint="eastAsia"/>
                <w:b/>
                <w:bCs/>
                <w:color w:val="000000"/>
                <w:kern w:val="0"/>
                <w:szCs w:val="21"/>
              </w:rPr>
              <w:t xml:space="preserve">外国からの送金 </w:t>
            </w:r>
            <w:r w:rsidRPr="00887760">
              <w:rPr>
                <w:rFonts w:ascii="ＭＳ Ｐゴシック" w:eastAsia="ＭＳ Ｐゴシック" w:hAnsi="ＭＳ Ｐゴシック" w:cs="ＭＳ Ｐゴシック" w:hint="eastAsia"/>
                <w:b/>
                <w:bCs/>
                <w:color w:val="000000"/>
                <w:kern w:val="0"/>
                <w:sz w:val="18"/>
                <w:szCs w:val="18"/>
              </w:rPr>
              <w:t>（百万ドル）</w:t>
            </w:r>
          </w:p>
        </w:tc>
        <w:tc>
          <w:tcPr>
            <w:tcW w:w="1275"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center"/>
              <w:rPr>
                <w:rFonts w:ascii="ＭＳ Ｐゴシック" w:eastAsia="ＭＳ Ｐゴシック" w:hAnsi="ＭＳ Ｐゴシック" w:cs="ＭＳ Ｐゴシック"/>
                <w:b/>
                <w:bCs/>
                <w:color w:val="000000"/>
                <w:kern w:val="0"/>
                <w:sz w:val="16"/>
                <w:szCs w:val="16"/>
              </w:rPr>
            </w:pPr>
            <w:r w:rsidRPr="00887760">
              <w:rPr>
                <w:rFonts w:ascii="ＭＳ Ｐゴシック" w:eastAsia="ＭＳ Ｐゴシック" w:hAnsi="ＭＳ Ｐゴシック" w:cs="ＭＳ Ｐゴシック" w:hint="eastAsia"/>
                <w:b/>
                <w:bCs/>
                <w:color w:val="000000"/>
                <w:kern w:val="0"/>
                <w:sz w:val="16"/>
                <w:szCs w:val="16"/>
              </w:rPr>
              <w:t>未発表</w:t>
            </w:r>
          </w:p>
        </w:tc>
        <w:tc>
          <w:tcPr>
            <w:tcW w:w="1264"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383.94</w:t>
            </w:r>
          </w:p>
        </w:tc>
        <w:tc>
          <w:tcPr>
            <w:tcW w:w="1146"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394.2</w:t>
            </w:r>
          </w:p>
        </w:tc>
        <w:tc>
          <w:tcPr>
            <w:tcW w:w="1169"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5,105.2</w:t>
            </w:r>
          </w:p>
        </w:tc>
        <w:tc>
          <w:tcPr>
            <w:tcW w:w="1210"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4,782.7</w:t>
            </w:r>
          </w:p>
        </w:tc>
      </w:tr>
      <w:tr w:rsidR="00887760" w:rsidRPr="00887760" w:rsidTr="002557CB">
        <w:trPr>
          <w:trHeight w:val="27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887760" w:rsidRPr="00887760" w:rsidRDefault="00887760" w:rsidP="00887760">
            <w:pPr>
              <w:widowControl/>
              <w:jc w:val="left"/>
              <w:rPr>
                <w:rFonts w:ascii="ＭＳ Ｐゴシック" w:eastAsia="ＭＳ Ｐゴシック" w:hAnsi="ＭＳ Ｐゴシック" w:cs="ＭＳ Ｐゴシック"/>
                <w:b/>
                <w:bCs/>
                <w:color w:val="000000"/>
                <w:kern w:val="0"/>
                <w:szCs w:val="21"/>
              </w:rPr>
            </w:pPr>
            <w:r w:rsidRPr="00887760">
              <w:rPr>
                <w:rFonts w:ascii="ＭＳ Ｐゴシック" w:eastAsia="ＭＳ Ｐゴシック" w:hAnsi="ＭＳ Ｐゴシック" w:cs="ＭＳ Ｐゴシック" w:hint="eastAsia"/>
                <w:b/>
                <w:bCs/>
                <w:color w:val="000000"/>
                <w:kern w:val="0"/>
                <w:szCs w:val="21"/>
              </w:rPr>
              <w:t xml:space="preserve">為替レート </w:t>
            </w:r>
            <w:r w:rsidRPr="00887760">
              <w:rPr>
                <w:rFonts w:ascii="ＭＳ Ｐゴシック" w:eastAsia="ＭＳ Ｐゴシック" w:hAnsi="ＭＳ Ｐゴシック" w:cs="ＭＳ Ｐゴシック" w:hint="eastAsia"/>
                <w:b/>
                <w:bCs/>
                <w:color w:val="000000"/>
                <w:kern w:val="0"/>
                <w:sz w:val="18"/>
                <w:szCs w:val="18"/>
              </w:rPr>
              <w:t>（対ドル月平均）</w:t>
            </w:r>
          </w:p>
        </w:tc>
        <w:tc>
          <w:tcPr>
            <w:tcW w:w="1275"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7.73</w:t>
            </w:r>
          </w:p>
        </w:tc>
        <w:tc>
          <w:tcPr>
            <w:tcW w:w="1264"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7.76</w:t>
            </w:r>
          </w:p>
        </w:tc>
        <w:tc>
          <w:tcPr>
            <w:tcW w:w="1146"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7.85</w:t>
            </w:r>
          </w:p>
        </w:tc>
        <w:tc>
          <w:tcPr>
            <w:tcW w:w="1169"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7.86</w:t>
            </w:r>
          </w:p>
        </w:tc>
        <w:tc>
          <w:tcPr>
            <w:tcW w:w="1210" w:type="dxa"/>
            <w:tcBorders>
              <w:top w:val="nil"/>
              <w:left w:val="nil"/>
              <w:bottom w:val="single" w:sz="4" w:space="0" w:color="auto"/>
              <w:right w:val="single" w:sz="4" w:space="0" w:color="auto"/>
            </w:tcBorders>
            <w:shd w:val="clear" w:color="auto" w:fill="auto"/>
            <w:noWrap/>
            <w:vAlign w:val="center"/>
            <w:hideMark/>
          </w:tcPr>
          <w:p w:rsidR="00887760" w:rsidRPr="00887760" w:rsidRDefault="00887760" w:rsidP="00887760">
            <w:pPr>
              <w:widowControl/>
              <w:jc w:val="right"/>
              <w:rPr>
                <w:rFonts w:ascii="ＭＳ Ｐゴシック" w:eastAsia="ＭＳ Ｐゴシック" w:hAnsi="ＭＳ Ｐゴシック" w:cs="ＭＳ Ｐゴシック"/>
                <w:color w:val="000000"/>
                <w:kern w:val="0"/>
                <w:sz w:val="22"/>
              </w:rPr>
            </w:pPr>
            <w:r w:rsidRPr="00887760">
              <w:rPr>
                <w:rFonts w:ascii="ＭＳ Ｐゴシック" w:eastAsia="ＭＳ Ｐゴシック" w:hAnsi="ＭＳ Ｐゴシック" w:cs="ＭＳ Ｐゴシック" w:hint="eastAsia"/>
                <w:color w:val="000000"/>
                <w:kern w:val="0"/>
                <w:sz w:val="22"/>
              </w:rPr>
              <w:t>7.83</w:t>
            </w:r>
          </w:p>
        </w:tc>
      </w:tr>
    </w:tbl>
    <w:p w:rsidR="00887760" w:rsidRPr="003E19FD" w:rsidRDefault="00887760" w:rsidP="009079F3">
      <w:r>
        <w:rPr>
          <w:rFonts w:hint="eastAsia"/>
        </w:rPr>
        <w:t xml:space="preserve">（出所：中銀、国立統計局）　　　　</w:t>
      </w:r>
      <w:r w:rsidR="00411247">
        <w:rPr>
          <w:rFonts w:hint="eastAsia"/>
        </w:rPr>
        <w:t xml:space="preserve">　　</w:t>
      </w:r>
      <w:r>
        <w:rPr>
          <w:rFonts w:hint="eastAsia"/>
        </w:rPr>
        <w:t>注）</w:t>
      </w:r>
      <w:r>
        <w:rPr>
          <w:rFonts w:hint="eastAsia"/>
        </w:rPr>
        <w:t>2012</w:t>
      </w:r>
      <w:r>
        <w:rPr>
          <w:rFonts w:hint="eastAsia"/>
        </w:rPr>
        <w:t>年及び</w:t>
      </w:r>
      <w:r>
        <w:rPr>
          <w:rFonts w:hint="eastAsia"/>
        </w:rPr>
        <w:t>2013</w:t>
      </w:r>
      <w:r>
        <w:rPr>
          <w:rFonts w:hint="eastAsia"/>
        </w:rPr>
        <w:t>年の為替レートは年平均</w:t>
      </w:r>
    </w:p>
    <w:p w:rsidR="00555B85" w:rsidRPr="001333B4" w:rsidRDefault="00555B85" w:rsidP="009079F3"/>
    <w:p w:rsidR="009079F3" w:rsidRPr="00324552" w:rsidRDefault="009079F3" w:rsidP="009079F3">
      <w:pPr>
        <w:rPr>
          <w:shd w:val="pct15" w:color="auto" w:fill="FFFFFF"/>
        </w:rPr>
      </w:pPr>
      <w:r w:rsidRPr="00324552">
        <w:rPr>
          <w:rFonts w:hint="eastAsia"/>
          <w:shd w:val="pct15" w:color="auto" w:fill="FFFFFF"/>
        </w:rPr>
        <w:lastRenderedPageBreak/>
        <w:t>４．治安・社会</w:t>
      </w:r>
    </w:p>
    <w:p w:rsidR="00F429FC" w:rsidRDefault="00F429FC" w:rsidP="009079F3">
      <w:r>
        <w:rPr>
          <w:rFonts w:hint="eastAsia"/>
        </w:rPr>
        <w:t>（</w:t>
      </w:r>
      <w:r w:rsidR="00785EE4">
        <w:rPr>
          <w:rFonts w:hint="eastAsia"/>
        </w:rPr>
        <w:t>１</w:t>
      </w:r>
      <w:r>
        <w:rPr>
          <w:rFonts w:hint="eastAsia"/>
        </w:rPr>
        <w:t>）</w:t>
      </w:r>
      <w:r w:rsidR="0064683F">
        <w:rPr>
          <w:rFonts w:hint="eastAsia"/>
        </w:rPr>
        <w:t>国外で収監される不法移民</w:t>
      </w:r>
    </w:p>
    <w:p w:rsidR="00A271AC" w:rsidRDefault="0064683F" w:rsidP="00F429FC">
      <w:pPr>
        <w:ind w:firstLineChars="100" w:firstLine="210"/>
      </w:pPr>
      <w:r>
        <w:rPr>
          <w:rFonts w:hint="eastAsia"/>
        </w:rPr>
        <w:t>現在、国外</w:t>
      </w:r>
      <w:r w:rsidR="00F429FC">
        <w:rPr>
          <w:rFonts w:hint="eastAsia"/>
        </w:rPr>
        <w:t>で収監されているグアテマラ人は計</w:t>
      </w:r>
      <w:r w:rsidR="00F429FC">
        <w:rPr>
          <w:rFonts w:hint="eastAsia"/>
        </w:rPr>
        <w:t>899</w:t>
      </w:r>
      <w:r w:rsidR="00F429FC">
        <w:rPr>
          <w:rFonts w:hint="eastAsia"/>
        </w:rPr>
        <w:t>名（</w:t>
      </w:r>
      <w:r>
        <w:rPr>
          <w:rFonts w:hint="eastAsia"/>
        </w:rPr>
        <w:t>米国</w:t>
      </w:r>
      <w:r w:rsidR="00F429FC">
        <w:rPr>
          <w:rFonts w:hint="eastAsia"/>
        </w:rPr>
        <w:t>434</w:t>
      </w:r>
      <w:r>
        <w:rPr>
          <w:rFonts w:hint="eastAsia"/>
        </w:rPr>
        <w:t>名</w:t>
      </w:r>
      <w:r w:rsidR="00F429FC">
        <w:rPr>
          <w:rFonts w:hint="eastAsia"/>
        </w:rPr>
        <w:t>、</w:t>
      </w:r>
      <w:r>
        <w:rPr>
          <w:rFonts w:hint="eastAsia"/>
        </w:rPr>
        <w:t>メキシコ</w:t>
      </w:r>
      <w:r w:rsidR="00F429FC">
        <w:rPr>
          <w:rFonts w:hint="eastAsia"/>
        </w:rPr>
        <w:t>85</w:t>
      </w:r>
      <w:r>
        <w:rPr>
          <w:rFonts w:hint="eastAsia"/>
        </w:rPr>
        <w:t>名を含む</w:t>
      </w:r>
      <w:r>
        <w:rPr>
          <w:rFonts w:hint="eastAsia"/>
        </w:rPr>
        <w:t>10</w:t>
      </w:r>
      <w:r>
        <w:rPr>
          <w:rFonts w:hint="eastAsia"/>
        </w:rPr>
        <w:t>か国）おり</w:t>
      </w:r>
      <w:r w:rsidR="00F429FC">
        <w:rPr>
          <w:rFonts w:hint="eastAsia"/>
        </w:rPr>
        <w:t>、</w:t>
      </w:r>
      <w:r>
        <w:rPr>
          <w:rFonts w:hint="eastAsia"/>
        </w:rPr>
        <w:t>主な罪状は不法入国や組織犯罪への関与である。一方、当国における外国人収監者は計</w:t>
      </w:r>
      <w:r>
        <w:rPr>
          <w:rFonts w:hint="eastAsia"/>
        </w:rPr>
        <w:t>559</w:t>
      </w:r>
      <w:r>
        <w:rPr>
          <w:rFonts w:hint="eastAsia"/>
        </w:rPr>
        <w:t>名（エルサルバドル人</w:t>
      </w:r>
      <w:r>
        <w:rPr>
          <w:rFonts w:hint="eastAsia"/>
        </w:rPr>
        <w:t>163</w:t>
      </w:r>
      <w:r>
        <w:rPr>
          <w:rFonts w:hint="eastAsia"/>
        </w:rPr>
        <w:t>名、ニカラグア人</w:t>
      </w:r>
      <w:r>
        <w:rPr>
          <w:rFonts w:hint="eastAsia"/>
        </w:rPr>
        <w:t>134</w:t>
      </w:r>
      <w:r>
        <w:rPr>
          <w:rFonts w:hint="eastAsia"/>
        </w:rPr>
        <w:t>名、ホンジュラス人</w:t>
      </w:r>
      <w:r>
        <w:rPr>
          <w:rFonts w:hint="eastAsia"/>
        </w:rPr>
        <w:t>107</w:t>
      </w:r>
      <w:r>
        <w:rPr>
          <w:rFonts w:hint="eastAsia"/>
        </w:rPr>
        <w:t>名、メキシコ人</w:t>
      </w:r>
      <w:r>
        <w:rPr>
          <w:rFonts w:hint="eastAsia"/>
        </w:rPr>
        <w:t>70</w:t>
      </w:r>
      <w:r>
        <w:rPr>
          <w:rFonts w:hint="eastAsia"/>
        </w:rPr>
        <w:t>名他）おり、</w:t>
      </w:r>
      <w:r w:rsidR="00CE4F74">
        <w:rPr>
          <w:rFonts w:hint="eastAsia"/>
        </w:rPr>
        <w:t>首都における</w:t>
      </w:r>
      <w:r>
        <w:rPr>
          <w:rFonts w:hint="eastAsia"/>
        </w:rPr>
        <w:t>隣国出身者による犯罪が多い。</w:t>
      </w:r>
    </w:p>
    <w:p w:rsidR="00D55E50" w:rsidRDefault="00D55E50" w:rsidP="00D119E8">
      <w:r>
        <w:rPr>
          <w:rFonts w:hint="eastAsia"/>
        </w:rPr>
        <w:t>（</w:t>
      </w:r>
      <w:r w:rsidR="00785EE4">
        <w:rPr>
          <w:rFonts w:hint="eastAsia"/>
        </w:rPr>
        <w:t>２</w:t>
      </w:r>
      <w:r>
        <w:rPr>
          <w:rFonts w:hint="eastAsia"/>
        </w:rPr>
        <w:t>）グアテマラ市における大火事</w:t>
      </w:r>
    </w:p>
    <w:p w:rsidR="00D55E50" w:rsidRDefault="00D55E50" w:rsidP="00D119E8">
      <w:r>
        <w:rPr>
          <w:rFonts w:hint="eastAsia"/>
        </w:rPr>
        <w:t xml:space="preserve">　</w:t>
      </w:r>
      <w:r>
        <w:rPr>
          <w:rFonts w:hint="eastAsia"/>
        </w:rPr>
        <w:t>25</w:t>
      </w:r>
      <w:r>
        <w:rPr>
          <w:rFonts w:hint="eastAsia"/>
        </w:rPr>
        <w:t>日、グアテマラ市（</w:t>
      </w:r>
      <w:r>
        <w:rPr>
          <w:rFonts w:hint="eastAsia"/>
        </w:rPr>
        <w:t>zona 4</w:t>
      </w:r>
      <w:r>
        <w:rPr>
          <w:rFonts w:hint="eastAsia"/>
        </w:rPr>
        <w:t>）</w:t>
      </w:r>
      <w:r w:rsidR="00974C2F">
        <w:rPr>
          <w:rFonts w:hint="eastAsia"/>
        </w:rPr>
        <w:t>の市場</w:t>
      </w:r>
      <w:r>
        <w:rPr>
          <w:rFonts w:hint="eastAsia"/>
        </w:rPr>
        <w:t>において火事が発生し、</w:t>
      </w:r>
      <w:r w:rsidR="00974C2F">
        <w:rPr>
          <w:rFonts w:hint="eastAsia"/>
        </w:rPr>
        <w:t>同市場の</w:t>
      </w:r>
      <w:r w:rsidR="00974C2F">
        <w:rPr>
          <w:rFonts w:hint="eastAsia"/>
        </w:rPr>
        <w:t>1,500</w:t>
      </w:r>
      <w:r w:rsidR="00974C2F">
        <w:rPr>
          <w:rFonts w:hint="eastAsia"/>
        </w:rPr>
        <w:t>店舗のうち、</w:t>
      </w:r>
      <w:r>
        <w:rPr>
          <w:rFonts w:hint="eastAsia"/>
        </w:rPr>
        <w:t>約</w:t>
      </w:r>
      <w:r>
        <w:rPr>
          <w:rFonts w:hint="eastAsia"/>
        </w:rPr>
        <w:t>600</w:t>
      </w:r>
      <w:r>
        <w:rPr>
          <w:rFonts w:hint="eastAsia"/>
        </w:rPr>
        <w:t>店舗が火災の被害に遭った。本火災により、</w:t>
      </w:r>
      <w:r>
        <w:rPr>
          <w:rFonts w:hint="eastAsia"/>
        </w:rPr>
        <w:t>6</w:t>
      </w:r>
      <w:r>
        <w:rPr>
          <w:rFonts w:hint="eastAsia"/>
        </w:rPr>
        <w:t>名が負傷、</w:t>
      </w:r>
      <w:r>
        <w:rPr>
          <w:rFonts w:hint="eastAsia"/>
        </w:rPr>
        <w:t>12</w:t>
      </w:r>
      <w:r>
        <w:rPr>
          <w:rFonts w:hint="eastAsia"/>
        </w:rPr>
        <w:t>名の消防士が一酸化炭素中毒となった他、約</w:t>
      </w:r>
      <w:r>
        <w:rPr>
          <w:rFonts w:hint="eastAsia"/>
        </w:rPr>
        <w:t>6</w:t>
      </w:r>
      <w:r>
        <w:rPr>
          <w:rFonts w:hint="eastAsia"/>
        </w:rPr>
        <w:t>千名が火災の影響を受けたと報告されている。</w:t>
      </w:r>
    </w:p>
    <w:p w:rsidR="00785EE4" w:rsidRDefault="00785EE4" w:rsidP="00785EE4">
      <w:r>
        <w:rPr>
          <w:rFonts w:hint="eastAsia"/>
        </w:rPr>
        <w:t>（３）国立サン・カルロス大学の新学長選出</w:t>
      </w:r>
    </w:p>
    <w:p w:rsidR="00785EE4" w:rsidRPr="00785EE4" w:rsidRDefault="00785EE4" w:rsidP="00D119E8">
      <w:r>
        <w:rPr>
          <w:rFonts w:hint="eastAsia"/>
        </w:rPr>
        <w:t xml:space="preserve">　</w:t>
      </w:r>
      <w:r>
        <w:rPr>
          <w:rFonts w:hint="eastAsia"/>
        </w:rPr>
        <w:t>24</w:t>
      </w:r>
      <w:r w:rsidR="006B5B69">
        <w:rPr>
          <w:rFonts w:hint="eastAsia"/>
        </w:rPr>
        <w:t>日、国立サン・カルロス大学の次期</w:t>
      </w:r>
      <w:r>
        <w:rPr>
          <w:rFonts w:hint="eastAsia"/>
        </w:rPr>
        <w:t>学長を決める選挙が実施され、同大学のカルロス・アルバラード・セレソ前事務局長が</w:t>
      </w:r>
      <w:r w:rsidR="006B5B69">
        <w:rPr>
          <w:rFonts w:hint="eastAsia"/>
        </w:rPr>
        <w:t>新学長に</w:t>
      </w:r>
      <w:r>
        <w:rPr>
          <w:rFonts w:hint="eastAsia"/>
        </w:rPr>
        <w:t>選ばれた。</w:t>
      </w:r>
    </w:p>
    <w:p w:rsidR="001D1609" w:rsidRDefault="001D1609" w:rsidP="00D119E8">
      <w:r>
        <w:rPr>
          <w:rFonts w:hint="eastAsia"/>
        </w:rPr>
        <w:t>（</w:t>
      </w:r>
      <w:r w:rsidR="00785EE4">
        <w:rPr>
          <w:rFonts w:hint="eastAsia"/>
        </w:rPr>
        <w:t>４</w:t>
      </w:r>
      <w:r>
        <w:rPr>
          <w:rFonts w:hint="eastAsia"/>
        </w:rPr>
        <w:t>）国営放送の開始</w:t>
      </w:r>
    </w:p>
    <w:p w:rsidR="001D1609" w:rsidRDefault="001D1609" w:rsidP="00D119E8">
      <w:r>
        <w:rPr>
          <w:rFonts w:hint="eastAsia"/>
        </w:rPr>
        <w:t xml:space="preserve">　クエバス大統領府広報長官は、</w:t>
      </w:r>
      <w:r>
        <w:rPr>
          <w:rFonts w:hint="eastAsia"/>
        </w:rPr>
        <w:t>4</w:t>
      </w:r>
      <w:r>
        <w:rPr>
          <w:rFonts w:hint="eastAsia"/>
        </w:rPr>
        <w:t>月上旬に国営放送</w:t>
      </w:r>
      <w:r w:rsidR="00E15B94">
        <w:rPr>
          <w:rFonts w:hint="eastAsia"/>
        </w:rPr>
        <w:t>を開始する旨発表した。国営放送はケーブルテレビを通じて配</w:t>
      </w:r>
      <w:r w:rsidR="006F28CB">
        <w:rPr>
          <w:rFonts w:hint="eastAsia"/>
        </w:rPr>
        <w:t>信され、ニュース番組のほか、スポーツ、大臣の活動に関する番組が放送される。</w:t>
      </w:r>
    </w:p>
    <w:p w:rsidR="00034B03" w:rsidRDefault="00034B03" w:rsidP="00D119E8">
      <w:r>
        <w:rPr>
          <w:rFonts w:hint="eastAsia"/>
        </w:rPr>
        <w:t>（</w:t>
      </w:r>
      <w:r w:rsidR="00785EE4">
        <w:rPr>
          <w:rFonts w:hint="eastAsia"/>
        </w:rPr>
        <w:t>５</w:t>
      </w:r>
      <w:r>
        <w:rPr>
          <w:rFonts w:hint="eastAsia"/>
        </w:rPr>
        <w:t>）日本国政府国費留学生同窓会の発足</w:t>
      </w:r>
    </w:p>
    <w:p w:rsidR="00034B03" w:rsidRDefault="00034B03" w:rsidP="00D119E8">
      <w:r>
        <w:rPr>
          <w:rFonts w:hint="eastAsia"/>
        </w:rPr>
        <w:t xml:space="preserve">　</w:t>
      </w:r>
      <w:r>
        <w:rPr>
          <w:rFonts w:hint="eastAsia"/>
        </w:rPr>
        <w:t>27</w:t>
      </w:r>
      <w:r>
        <w:rPr>
          <w:rFonts w:hint="eastAsia"/>
        </w:rPr>
        <w:t>日、日本国政府国費留学生が日本大使公邸に招かれ、</w:t>
      </w:r>
      <w:r w:rsidR="002532BE">
        <w:rPr>
          <w:rFonts w:hint="eastAsia"/>
        </w:rPr>
        <w:t>この機会に元国費留学生の</w:t>
      </w:r>
      <w:r>
        <w:rPr>
          <w:rFonts w:hint="eastAsia"/>
        </w:rPr>
        <w:t>同窓会</w:t>
      </w:r>
      <w:r w:rsidR="00764BD0">
        <w:rPr>
          <w:rFonts w:hint="eastAsia"/>
        </w:rPr>
        <w:t>組織</w:t>
      </w:r>
      <w:r>
        <w:rPr>
          <w:rFonts w:hint="eastAsia"/>
        </w:rPr>
        <w:t>の発足が発表された。これまでに計</w:t>
      </w:r>
      <w:r>
        <w:rPr>
          <w:rFonts w:hint="eastAsia"/>
        </w:rPr>
        <w:t>78</w:t>
      </w:r>
      <w:r>
        <w:rPr>
          <w:rFonts w:hint="eastAsia"/>
        </w:rPr>
        <w:t>名が日本国政府国費留学生として留学しており、今年は</w:t>
      </w:r>
      <w:r>
        <w:rPr>
          <w:rFonts w:hint="eastAsia"/>
        </w:rPr>
        <w:t>5</w:t>
      </w:r>
      <w:r>
        <w:rPr>
          <w:rFonts w:hint="eastAsia"/>
        </w:rPr>
        <w:t>名の当国学生が日本へ留学する。</w:t>
      </w:r>
    </w:p>
    <w:p w:rsidR="00512130" w:rsidRDefault="00512130" w:rsidP="00D119E8"/>
    <w:p w:rsidR="00512130" w:rsidRPr="00034B03" w:rsidRDefault="00512130" w:rsidP="00512130">
      <w:pPr>
        <w:jc w:val="right"/>
      </w:pPr>
      <w:r>
        <w:rPr>
          <w:rFonts w:hint="eastAsia"/>
        </w:rPr>
        <w:t>（了）</w:t>
      </w:r>
    </w:p>
    <w:sectPr w:rsidR="00512130" w:rsidRPr="00034B03" w:rsidSect="00966B7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CB5" w:rsidRDefault="00760CB5" w:rsidP="005F4391">
      <w:r>
        <w:separator/>
      </w:r>
    </w:p>
  </w:endnote>
  <w:endnote w:type="continuationSeparator" w:id="0">
    <w:p w:rsidR="00760CB5" w:rsidRDefault="00760CB5" w:rsidP="005F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5487"/>
      <w:docPartObj>
        <w:docPartGallery w:val="Page Numbers (Bottom of Page)"/>
        <w:docPartUnique/>
      </w:docPartObj>
    </w:sdtPr>
    <w:sdtEndPr/>
    <w:sdtContent>
      <w:sdt>
        <w:sdtPr>
          <w:id w:val="46958467"/>
          <w:docPartObj>
            <w:docPartGallery w:val="Page Numbers (Top of Page)"/>
            <w:docPartUnique/>
          </w:docPartObj>
        </w:sdtPr>
        <w:sdtEndPr/>
        <w:sdtContent>
          <w:p w:rsidR="00760CB5" w:rsidRDefault="00760CB5">
            <w:pPr>
              <w:pStyle w:val="a5"/>
              <w:jc w:val="center"/>
            </w:pPr>
            <w:r>
              <w:rPr>
                <w:lang w:val="ja-JP"/>
              </w:rPr>
              <w:t xml:space="preserve"> </w:t>
            </w:r>
            <w:r>
              <w:rPr>
                <w:b/>
                <w:sz w:val="24"/>
                <w:szCs w:val="24"/>
              </w:rPr>
              <w:fldChar w:fldCharType="begin"/>
            </w:r>
            <w:r>
              <w:rPr>
                <w:b/>
              </w:rPr>
              <w:instrText>PAGE</w:instrText>
            </w:r>
            <w:r>
              <w:rPr>
                <w:b/>
                <w:sz w:val="24"/>
                <w:szCs w:val="24"/>
              </w:rPr>
              <w:fldChar w:fldCharType="separate"/>
            </w:r>
            <w:r w:rsidR="001D7A6D">
              <w:rPr>
                <w:b/>
                <w:noProof/>
              </w:rPr>
              <w:t>3</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sidR="001D7A6D">
              <w:rPr>
                <w:b/>
                <w:noProof/>
              </w:rPr>
              <w:t>5</w:t>
            </w:r>
            <w:r>
              <w:rPr>
                <w:b/>
                <w:sz w:val="24"/>
                <w:szCs w:val="24"/>
              </w:rPr>
              <w:fldChar w:fldCharType="end"/>
            </w:r>
          </w:p>
        </w:sdtContent>
      </w:sdt>
    </w:sdtContent>
  </w:sdt>
  <w:p w:rsidR="00760CB5" w:rsidRDefault="00760C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CB5" w:rsidRDefault="00760CB5" w:rsidP="005F4391">
      <w:r>
        <w:separator/>
      </w:r>
    </w:p>
  </w:footnote>
  <w:footnote w:type="continuationSeparator" w:id="0">
    <w:p w:rsidR="00760CB5" w:rsidRDefault="00760CB5" w:rsidP="005F4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4391"/>
    <w:rsid w:val="00001396"/>
    <w:rsid w:val="00001BB9"/>
    <w:rsid w:val="00002787"/>
    <w:rsid w:val="00006DF2"/>
    <w:rsid w:val="00010833"/>
    <w:rsid w:val="000337D1"/>
    <w:rsid w:val="00034B03"/>
    <w:rsid w:val="000374B3"/>
    <w:rsid w:val="00042191"/>
    <w:rsid w:val="0004273A"/>
    <w:rsid w:val="000435C5"/>
    <w:rsid w:val="0005170E"/>
    <w:rsid w:val="00051ACF"/>
    <w:rsid w:val="00052D51"/>
    <w:rsid w:val="00056DF0"/>
    <w:rsid w:val="00062E1F"/>
    <w:rsid w:val="000644AB"/>
    <w:rsid w:val="00073D76"/>
    <w:rsid w:val="00083F1B"/>
    <w:rsid w:val="00085150"/>
    <w:rsid w:val="000D478D"/>
    <w:rsid w:val="000D676D"/>
    <w:rsid w:val="000E5775"/>
    <w:rsid w:val="000E63C1"/>
    <w:rsid w:val="000F4172"/>
    <w:rsid w:val="00114E07"/>
    <w:rsid w:val="00120749"/>
    <w:rsid w:val="00121BC5"/>
    <w:rsid w:val="0013048A"/>
    <w:rsid w:val="001333B4"/>
    <w:rsid w:val="00135A1A"/>
    <w:rsid w:val="00153C03"/>
    <w:rsid w:val="00185BA7"/>
    <w:rsid w:val="0019489D"/>
    <w:rsid w:val="001A3959"/>
    <w:rsid w:val="001A5575"/>
    <w:rsid w:val="001C0C8D"/>
    <w:rsid w:val="001D1609"/>
    <w:rsid w:val="001D34F4"/>
    <w:rsid w:val="001D7A6D"/>
    <w:rsid w:val="001F6AEB"/>
    <w:rsid w:val="0020585F"/>
    <w:rsid w:val="00216520"/>
    <w:rsid w:val="00223140"/>
    <w:rsid w:val="002275D3"/>
    <w:rsid w:val="00234001"/>
    <w:rsid w:val="0023618F"/>
    <w:rsid w:val="002532BE"/>
    <w:rsid w:val="002557CB"/>
    <w:rsid w:val="0026000F"/>
    <w:rsid w:val="002673B1"/>
    <w:rsid w:val="00270B0A"/>
    <w:rsid w:val="002723A5"/>
    <w:rsid w:val="002A7C6D"/>
    <w:rsid w:val="002C3513"/>
    <w:rsid w:val="002D718D"/>
    <w:rsid w:val="00301691"/>
    <w:rsid w:val="00306F9C"/>
    <w:rsid w:val="00314328"/>
    <w:rsid w:val="00324552"/>
    <w:rsid w:val="00325306"/>
    <w:rsid w:val="0033227C"/>
    <w:rsid w:val="003440EA"/>
    <w:rsid w:val="0035397A"/>
    <w:rsid w:val="003614D9"/>
    <w:rsid w:val="0036495B"/>
    <w:rsid w:val="00364A23"/>
    <w:rsid w:val="003724DD"/>
    <w:rsid w:val="00376E40"/>
    <w:rsid w:val="00382009"/>
    <w:rsid w:val="0039321E"/>
    <w:rsid w:val="003959A8"/>
    <w:rsid w:val="003A5C1B"/>
    <w:rsid w:val="003C14AF"/>
    <w:rsid w:val="003C1973"/>
    <w:rsid w:val="003C39C0"/>
    <w:rsid w:val="003D5206"/>
    <w:rsid w:val="003E15E6"/>
    <w:rsid w:val="003E19FD"/>
    <w:rsid w:val="003F2F0D"/>
    <w:rsid w:val="003F3A8E"/>
    <w:rsid w:val="003F3D6E"/>
    <w:rsid w:val="00407DFE"/>
    <w:rsid w:val="00411247"/>
    <w:rsid w:val="00422253"/>
    <w:rsid w:val="00433880"/>
    <w:rsid w:val="00434A9D"/>
    <w:rsid w:val="004369C4"/>
    <w:rsid w:val="004659C0"/>
    <w:rsid w:val="00465C8B"/>
    <w:rsid w:val="004757B3"/>
    <w:rsid w:val="00483939"/>
    <w:rsid w:val="004A6639"/>
    <w:rsid w:val="004B6270"/>
    <w:rsid w:val="004B74B8"/>
    <w:rsid w:val="004D23D4"/>
    <w:rsid w:val="004D6373"/>
    <w:rsid w:val="004D7B31"/>
    <w:rsid w:val="004E09BB"/>
    <w:rsid w:val="004E5764"/>
    <w:rsid w:val="004E58BC"/>
    <w:rsid w:val="004F1A01"/>
    <w:rsid w:val="00504DF8"/>
    <w:rsid w:val="00505E12"/>
    <w:rsid w:val="00512130"/>
    <w:rsid w:val="00514CB2"/>
    <w:rsid w:val="005550CB"/>
    <w:rsid w:val="00555B85"/>
    <w:rsid w:val="00555D7B"/>
    <w:rsid w:val="00561800"/>
    <w:rsid w:val="005855BE"/>
    <w:rsid w:val="00586864"/>
    <w:rsid w:val="00590294"/>
    <w:rsid w:val="00592E6B"/>
    <w:rsid w:val="00597169"/>
    <w:rsid w:val="005974F6"/>
    <w:rsid w:val="0059792D"/>
    <w:rsid w:val="005D2856"/>
    <w:rsid w:val="005F0C2B"/>
    <w:rsid w:val="005F13FA"/>
    <w:rsid w:val="005F167C"/>
    <w:rsid w:val="005F4391"/>
    <w:rsid w:val="00610170"/>
    <w:rsid w:val="00614078"/>
    <w:rsid w:val="00637A6D"/>
    <w:rsid w:val="0064009B"/>
    <w:rsid w:val="00644294"/>
    <w:rsid w:val="0064683F"/>
    <w:rsid w:val="00656C12"/>
    <w:rsid w:val="0066186F"/>
    <w:rsid w:val="00661AAD"/>
    <w:rsid w:val="00673EB2"/>
    <w:rsid w:val="006838DF"/>
    <w:rsid w:val="006A7400"/>
    <w:rsid w:val="006B2054"/>
    <w:rsid w:val="006B2D97"/>
    <w:rsid w:val="006B5398"/>
    <w:rsid w:val="006B57B9"/>
    <w:rsid w:val="006B5B69"/>
    <w:rsid w:val="006C1ABB"/>
    <w:rsid w:val="006C2619"/>
    <w:rsid w:val="006D1478"/>
    <w:rsid w:val="006D192D"/>
    <w:rsid w:val="006D1A4C"/>
    <w:rsid w:val="006E16F6"/>
    <w:rsid w:val="006E2C7B"/>
    <w:rsid w:val="006F28CB"/>
    <w:rsid w:val="006F6352"/>
    <w:rsid w:val="00702A6E"/>
    <w:rsid w:val="00725C9D"/>
    <w:rsid w:val="0073418F"/>
    <w:rsid w:val="007345AA"/>
    <w:rsid w:val="00735CD8"/>
    <w:rsid w:val="00742F93"/>
    <w:rsid w:val="00750CC7"/>
    <w:rsid w:val="00760CB5"/>
    <w:rsid w:val="00764BD0"/>
    <w:rsid w:val="0076589D"/>
    <w:rsid w:val="00785EE4"/>
    <w:rsid w:val="007A4750"/>
    <w:rsid w:val="007A6966"/>
    <w:rsid w:val="007B1AE2"/>
    <w:rsid w:val="007B6351"/>
    <w:rsid w:val="007C156F"/>
    <w:rsid w:val="007C1FC0"/>
    <w:rsid w:val="007C6635"/>
    <w:rsid w:val="007D32E1"/>
    <w:rsid w:val="007D5F76"/>
    <w:rsid w:val="00802EE0"/>
    <w:rsid w:val="00811569"/>
    <w:rsid w:val="00817B46"/>
    <w:rsid w:val="00831D45"/>
    <w:rsid w:val="00832E2E"/>
    <w:rsid w:val="00833854"/>
    <w:rsid w:val="008377E5"/>
    <w:rsid w:val="008400EB"/>
    <w:rsid w:val="0085545B"/>
    <w:rsid w:val="00865880"/>
    <w:rsid w:val="00875B49"/>
    <w:rsid w:val="00877621"/>
    <w:rsid w:val="00887760"/>
    <w:rsid w:val="00897D99"/>
    <w:rsid w:val="008A374B"/>
    <w:rsid w:val="008A5B46"/>
    <w:rsid w:val="008B31D0"/>
    <w:rsid w:val="008B6842"/>
    <w:rsid w:val="008C0F90"/>
    <w:rsid w:val="008C69AD"/>
    <w:rsid w:val="008D4364"/>
    <w:rsid w:val="008E3B1A"/>
    <w:rsid w:val="008F6EE7"/>
    <w:rsid w:val="00903A3D"/>
    <w:rsid w:val="009079F3"/>
    <w:rsid w:val="00907BEE"/>
    <w:rsid w:val="00920F10"/>
    <w:rsid w:val="00934CCB"/>
    <w:rsid w:val="0094060B"/>
    <w:rsid w:val="00945FD5"/>
    <w:rsid w:val="00952996"/>
    <w:rsid w:val="009606D9"/>
    <w:rsid w:val="00960976"/>
    <w:rsid w:val="00966B7C"/>
    <w:rsid w:val="009745B6"/>
    <w:rsid w:val="00974C2F"/>
    <w:rsid w:val="00980D5C"/>
    <w:rsid w:val="009A2FCA"/>
    <w:rsid w:val="009A53E3"/>
    <w:rsid w:val="009A7D64"/>
    <w:rsid w:val="009B0E90"/>
    <w:rsid w:val="009B7038"/>
    <w:rsid w:val="009D21F0"/>
    <w:rsid w:val="009D3986"/>
    <w:rsid w:val="009E523A"/>
    <w:rsid w:val="009F0DBF"/>
    <w:rsid w:val="009F1EAE"/>
    <w:rsid w:val="00A02E95"/>
    <w:rsid w:val="00A139EF"/>
    <w:rsid w:val="00A262A1"/>
    <w:rsid w:val="00A271AC"/>
    <w:rsid w:val="00A41BAC"/>
    <w:rsid w:val="00A500A5"/>
    <w:rsid w:val="00A62A48"/>
    <w:rsid w:val="00A63D8A"/>
    <w:rsid w:val="00A7451D"/>
    <w:rsid w:val="00A76371"/>
    <w:rsid w:val="00AA5F26"/>
    <w:rsid w:val="00AB0947"/>
    <w:rsid w:val="00AB6B7E"/>
    <w:rsid w:val="00AC08F0"/>
    <w:rsid w:val="00AC1A28"/>
    <w:rsid w:val="00AC5A51"/>
    <w:rsid w:val="00AD60A9"/>
    <w:rsid w:val="00AE00D4"/>
    <w:rsid w:val="00AE25DB"/>
    <w:rsid w:val="00AF517A"/>
    <w:rsid w:val="00B124CA"/>
    <w:rsid w:val="00B13E28"/>
    <w:rsid w:val="00B1760F"/>
    <w:rsid w:val="00B23B63"/>
    <w:rsid w:val="00B33E3A"/>
    <w:rsid w:val="00B377EA"/>
    <w:rsid w:val="00B445C3"/>
    <w:rsid w:val="00B508C8"/>
    <w:rsid w:val="00B512E3"/>
    <w:rsid w:val="00B64078"/>
    <w:rsid w:val="00B71E78"/>
    <w:rsid w:val="00B9140B"/>
    <w:rsid w:val="00B95F90"/>
    <w:rsid w:val="00BA41BD"/>
    <w:rsid w:val="00BC2672"/>
    <w:rsid w:val="00BC3134"/>
    <w:rsid w:val="00BC4E9F"/>
    <w:rsid w:val="00BD0ED5"/>
    <w:rsid w:val="00BD5E90"/>
    <w:rsid w:val="00BD7AF7"/>
    <w:rsid w:val="00BE080B"/>
    <w:rsid w:val="00BF1249"/>
    <w:rsid w:val="00BF1BD2"/>
    <w:rsid w:val="00BF46AA"/>
    <w:rsid w:val="00C07DA4"/>
    <w:rsid w:val="00C15D8E"/>
    <w:rsid w:val="00C15E0E"/>
    <w:rsid w:val="00C17DCD"/>
    <w:rsid w:val="00C24773"/>
    <w:rsid w:val="00C404B3"/>
    <w:rsid w:val="00C40B4A"/>
    <w:rsid w:val="00C45F9B"/>
    <w:rsid w:val="00C5750F"/>
    <w:rsid w:val="00C62CF5"/>
    <w:rsid w:val="00C658E1"/>
    <w:rsid w:val="00C71D90"/>
    <w:rsid w:val="00C84CE4"/>
    <w:rsid w:val="00CA3BC2"/>
    <w:rsid w:val="00CB196D"/>
    <w:rsid w:val="00CC01B0"/>
    <w:rsid w:val="00CC2571"/>
    <w:rsid w:val="00CD3E1A"/>
    <w:rsid w:val="00CE4F74"/>
    <w:rsid w:val="00CE6857"/>
    <w:rsid w:val="00D03238"/>
    <w:rsid w:val="00D119E8"/>
    <w:rsid w:val="00D14AAC"/>
    <w:rsid w:val="00D22BC1"/>
    <w:rsid w:val="00D41AF4"/>
    <w:rsid w:val="00D41CF5"/>
    <w:rsid w:val="00D55E50"/>
    <w:rsid w:val="00D63544"/>
    <w:rsid w:val="00D67D19"/>
    <w:rsid w:val="00D73A02"/>
    <w:rsid w:val="00D75841"/>
    <w:rsid w:val="00D812B2"/>
    <w:rsid w:val="00D837BA"/>
    <w:rsid w:val="00D918B8"/>
    <w:rsid w:val="00D95944"/>
    <w:rsid w:val="00DA0008"/>
    <w:rsid w:val="00DB5C60"/>
    <w:rsid w:val="00DB66FB"/>
    <w:rsid w:val="00DD446D"/>
    <w:rsid w:val="00DD71AA"/>
    <w:rsid w:val="00E1245F"/>
    <w:rsid w:val="00E15B94"/>
    <w:rsid w:val="00E16246"/>
    <w:rsid w:val="00E208E7"/>
    <w:rsid w:val="00E44399"/>
    <w:rsid w:val="00E459F8"/>
    <w:rsid w:val="00E62D86"/>
    <w:rsid w:val="00E64FC1"/>
    <w:rsid w:val="00E661B9"/>
    <w:rsid w:val="00E96ADD"/>
    <w:rsid w:val="00EA7877"/>
    <w:rsid w:val="00EB7B98"/>
    <w:rsid w:val="00EC12EA"/>
    <w:rsid w:val="00EC716F"/>
    <w:rsid w:val="00ED6805"/>
    <w:rsid w:val="00EF565B"/>
    <w:rsid w:val="00EF5AA0"/>
    <w:rsid w:val="00F05837"/>
    <w:rsid w:val="00F15B92"/>
    <w:rsid w:val="00F228A5"/>
    <w:rsid w:val="00F429FC"/>
    <w:rsid w:val="00F42AA2"/>
    <w:rsid w:val="00F4647B"/>
    <w:rsid w:val="00F64D45"/>
    <w:rsid w:val="00F66968"/>
    <w:rsid w:val="00F705A0"/>
    <w:rsid w:val="00F85A18"/>
    <w:rsid w:val="00FB3DC4"/>
    <w:rsid w:val="00FC1797"/>
    <w:rsid w:val="00FD0893"/>
    <w:rsid w:val="00FD4556"/>
    <w:rsid w:val="00FD4ACE"/>
    <w:rsid w:val="00FD6F6D"/>
    <w:rsid w:val="00FE11C8"/>
    <w:rsid w:val="00FF2984"/>
    <w:rsid w:val="00FF6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B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391"/>
    <w:pPr>
      <w:tabs>
        <w:tab w:val="center" w:pos="4252"/>
        <w:tab w:val="right" w:pos="8504"/>
      </w:tabs>
      <w:snapToGrid w:val="0"/>
    </w:pPr>
  </w:style>
  <w:style w:type="character" w:customStyle="1" w:styleId="a4">
    <w:name w:val="ヘッダー (文字)"/>
    <w:basedOn w:val="a0"/>
    <w:link w:val="a3"/>
    <w:uiPriority w:val="99"/>
    <w:semiHidden/>
    <w:rsid w:val="005F4391"/>
  </w:style>
  <w:style w:type="paragraph" w:styleId="a5">
    <w:name w:val="footer"/>
    <w:basedOn w:val="a"/>
    <w:link w:val="a6"/>
    <w:uiPriority w:val="99"/>
    <w:unhideWhenUsed/>
    <w:rsid w:val="005F4391"/>
    <w:pPr>
      <w:tabs>
        <w:tab w:val="center" w:pos="4252"/>
        <w:tab w:val="right" w:pos="8504"/>
      </w:tabs>
      <w:snapToGrid w:val="0"/>
    </w:pPr>
  </w:style>
  <w:style w:type="character" w:customStyle="1" w:styleId="a6">
    <w:name w:val="フッター (文字)"/>
    <w:basedOn w:val="a0"/>
    <w:link w:val="a5"/>
    <w:uiPriority w:val="99"/>
    <w:rsid w:val="005F4391"/>
  </w:style>
  <w:style w:type="paragraph" w:styleId="a7">
    <w:name w:val="Date"/>
    <w:basedOn w:val="a"/>
    <w:next w:val="a"/>
    <w:link w:val="a8"/>
    <w:uiPriority w:val="99"/>
    <w:semiHidden/>
    <w:unhideWhenUsed/>
    <w:rsid w:val="00D67D19"/>
  </w:style>
  <w:style w:type="character" w:customStyle="1" w:styleId="a8">
    <w:name w:val="日付 (文字)"/>
    <w:basedOn w:val="a0"/>
    <w:link w:val="a7"/>
    <w:uiPriority w:val="99"/>
    <w:semiHidden/>
    <w:rsid w:val="00D67D19"/>
  </w:style>
  <w:style w:type="paragraph" w:styleId="a9">
    <w:name w:val="List Paragraph"/>
    <w:basedOn w:val="a"/>
    <w:uiPriority w:val="34"/>
    <w:qFormat/>
    <w:rsid w:val="00D67D19"/>
    <w:pPr>
      <w:ind w:leftChars="400" w:left="840"/>
    </w:pPr>
  </w:style>
  <w:style w:type="paragraph" w:styleId="aa">
    <w:name w:val="Balloon Text"/>
    <w:basedOn w:val="a"/>
    <w:link w:val="ab"/>
    <w:uiPriority w:val="99"/>
    <w:semiHidden/>
    <w:unhideWhenUsed/>
    <w:rsid w:val="007A69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696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98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a:pPr>
            <a:r>
              <a:rPr lang="ja-JP">
                <a:latin typeface="+mn-ea"/>
                <a:ea typeface="+mn-ea"/>
              </a:rPr>
              <a:t>グアテマラのインフレ率の推移</a:t>
            </a:r>
            <a:r>
              <a:rPr lang="en-US" altLang="ja-JP">
                <a:latin typeface="+mn-ea"/>
                <a:ea typeface="+mn-ea"/>
              </a:rPr>
              <a:t> </a:t>
            </a:r>
            <a:r>
              <a:rPr lang="ja-JP" altLang="en-US" sz="1100">
                <a:latin typeface="+mn-ea"/>
                <a:ea typeface="+mn-ea"/>
              </a:rPr>
              <a:t>（単位：</a:t>
            </a:r>
            <a:r>
              <a:rPr lang="en-US" altLang="ja-JP" sz="1100">
                <a:latin typeface="+mn-ea"/>
                <a:ea typeface="+mn-ea"/>
              </a:rPr>
              <a:t>%</a:t>
            </a:r>
            <a:r>
              <a:rPr lang="ja-JP" altLang="en-US" sz="1100">
                <a:latin typeface="+mn-ea"/>
                <a:ea typeface="+mn-ea"/>
              </a:rPr>
              <a:t>）</a:t>
            </a:r>
            <a:endParaRPr lang="en-US">
              <a:latin typeface="+mn-ea"/>
              <a:ea typeface="+mn-ea"/>
            </a:endParaRPr>
          </a:p>
        </c:rich>
      </c:tx>
      <c:layout/>
      <c:overlay val="0"/>
    </c:title>
    <c:autoTitleDeleted val="0"/>
    <c:plotArea>
      <c:layout/>
      <c:lineChart>
        <c:grouping val="standard"/>
        <c:varyColors val="0"/>
        <c:ser>
          <c:idx val="0"/>
          <c:order val="0"/>
          <c:tx>
            <c:strRef>
              <c:f>Sheet1!$B$1</c:f>
              <c:strCache>
                <c:ptCount val="1"/>
                <c:pt idx="0">
                  <c:v>列1</c:v>
                </c:pt>
              </c:strCache>
            </c:strRef>
          </c:tx>
          <c:dLbls>
            <c:dLbl>
              <c:idx val="0"/>
              <c:layout>
                <c:manualLayout>
                  <c:x val="-4.9388523047977528E-2"/>
                  <c:y val="-5.6440233823825937E-2"/>
                </c:manualLayout>
              </c:layout>
              <c:showLegendKey val="0"/>
              <c:showVal val="1"/>
              <c:showCatName val="0"/>
              <c:showSerName val="0"/>
              <c:showPercent val="0"/>
              <c:showBubbleSize val="0"/>
            </c:dLbl>
            <c:dLbl>
              <c:idx val="1"/>
              <c:layout>
                <c:manualLayout>
                  <c:x val="-4.4684854186265284E-2"/>
                  <c:y val="-4.4345898004434586E-2"/>
                </c:manualLayout>
              </c:layout>
              <c:showLegendKey val="0"/>
              <c:showVal val="1"/>
              <c:showCatName val="0"/>
              <c:showSerName val="0"/>
              <c:showPercent val="0"/>
              <c:showBubbleSize val="0"/>
            </c:dLbl>
            <c:dLbl>
              <c:idx val="2"/>
              <c:layout>
                <c:manualLayout>
                  <c:x val="-4.4684854186265284E-2"/>
                  <c:y val="-5.6440233823825937E-2"/>
                </c:manualLayout>
              </c:layout>
              <c:showLegendKey val="0"/>
              <c:showVal val="1"/>
              <c:showCatName val="0"/>
              <c:showSerName val="0"/>
              <c:showPercent val="0"/>
              <c:showBubbleSize val="0"/>
            </c:dLbl>
            <c:dLbl>
              <c:idx val="3"/>
              <c:layout>
                <c:manualLayout>
                  <c:x val="-5.6444026340545718E-2"/>
                  <c:y val="-4.8377343277564953E-2"/>
                </c:manualLayout>
              </c:layout>
              <c:showLegendKey val="0"/>
              <c:showVal val="1"/>
              <c:showCatName val="0"/>
              <c:showSerName val="0"/>
              <c:showPercent val="0"/>
              <c:showBubbleSize val="0"/>
            </c:dLbl>
            <c:dLbl>
              <c:idx val="4"/>
              <c:layout>
                <c:manualLayout>
                  <c:x val="-4.7036688617121486E-2"/>
                  <c:y val="-5.6440233823825937E-2"/>
                </c:manualLayout>
              </c:layout>
              <c:showLegendKey val="0"/>
              <c:showVal val="1"/>
              <c:showCatName val="0"/>
              <c:showSerName val="0"/>
              <c:showPercent val="0"/>
              <c:showBubbleSize val="0"/>
            </c:dLbl>
            <c:dLbl>
              <c:idx val="5"/>
              <c:layout>
                <c:manualLayout>
                  <c:x val="-4.7036688617121486E-2"/>
                  <c:y val="-4.8377343277564905E-2"/>
                </c:manualLayout>
              </c:layout>
              <c:showLegendKey val="0"/>
              <c:showVal val="1"/>
              <c:showCatName val="0"/>
              <c:showSerName val="0"/>
              <c:showPercent val="0"/>
              <c:showBubbleSize val="0"/>
            </c:dLbl>
            <c:dLbl>
              <c:idx val="6"/>
              <c:layout>
                <c:manualLayout>
                  <c:x val="-4.2333019755409332E-2"/>
                  <c:y val="-4.4345898004434586E-2"/>
                </c:manualLayout>
              </c:layout>
              <c:showLegendKey val="0"/>
              <c:showVal val="1"/>
              <c:showCatName val="0"/>
              <c:showSerName val="0"/>
              <c:showPercent val="0"/>
              <c:showBubbleSize val="0"/>
            </c:dLbl>
            <c:dLbl>
              <c:idx val="7"/>
              <c:layout>
                <c:manualLayout>
                  <c:x val="-4.2333019755409332E-2"/>
                  <c:y val="-6.0471679096956325E-2"/>
                </c:manualLayout>
              </c:layout>
              <c:showLegendKey val="0"/>
              <c:showVal val="1"/>
              <c:showCatName val="0"/>
              <c:showSerName val="0"/>
              <c:showPercent val="0"/>
              <c:showBubbleSize val="0"/>
            </c:dLbl>
            <c:dLbl>
              <c:idx val="8"/>
              <c:layout>
                <c:manualLayout>
                  <c:x val="-3.9981185324553296E-2"/>
                  <c:y val="-4.8377343277565016E-2"/>
                </c:manualLayout>
              </c:layout>
              <c:showLegendKey val="0"/>
              <c:showVal val="1"/>
              <c:showCatName val="0"/>
              <c:showSerName val="0"/>
              <c:showPercent val="0"/>
              <c:showBubbleSize val="0"/>
            </c:dLbl>
            <c:dLbl>
              <c:idx val="9"/>
              <c:layout>
                <c:manualLayout>
                  <c:x val="-4.2333019755409332E-2"/>
                  <c:y val="-4.8377343277564953E-2"/>
                </c:manualLayout>
              </c:layout>
              <c:showLegendKey val="0"/>
              <c:showVal val="1"/>
              <c:showCatName val="0"/>
              <c:showSerName val="0"/>
              <c:showPercent val="0"/>
              <c:showBubbleSize val="0"/>
            </c:dLbl>
            <c:dLbl>
              <c:idx val="10"/>
              <c:layout>
                <c:manualLayout>
                  <c:x val="-5.4092191909689814E-2"/>
                  <c:y val="-5.6440233823825937E-2"/>
                </c:manualLayout>
              </c:layout>
              <c:showLegendKey val="0"/>
              <c:showVal val="1"/>
              <c:showCatName val="0"/>
              <c:showSerName val="0"/>
              <c:showPercent val="0"/>
              <c:showBubbleSize val="0"/>
            </c:dLbl>
            <c:dLbl>
              <c:idx val="11"/>
              <c:layout>
                <c:manualLayout>
                  <c:x val="-5.1740357478833487E-2"/>
                  <c:y val="-5.2408788550695501E-2"/>
                </c:manualLayout>
              </c:layout>
              <c:showLegendKey val="0"/>
              <c:showVal val="1"/>
              <c:showCatName val="0"/>
              <c:showSerName val="0"/>
              <c:showPercent val="0"/>
              <c:showBubbleSize val="0"/>
            </c:dLbl>
            <c:dLbl>
              <c:idx val="12"/>
              <c:layout>
                <c:manualLayout>
                  <c:x val="-4.4684854186265284E-2"/>
                  <c:y val="-4.8377343277564953E-2"/>
                </c:manualLayout>
              </c:layout>
              <c:showLegendKey val="0"/>
              <c:showVal val="1"/>
              <c:showCatName val="0"/>
              <c:showSerName val="0"/>
              <c:showPercent val="0"/>
              <c:showBubbleSize val="0"/>
            </c:dLbl>
            <c:dLbl>
              <c:idx val="13"/>
              <c:layout>
                <c:manualLayout>
                  <c:x val="-2.116650987770461E-2"/>
                  <c:y val="-5.644023382382593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Sheet1!$A$2:$A$15</c:f>
              <c:numCache>
                <c:formatCode>mmm\-yy</c:formatCode>
                <c:ptCount val="14"/>
                <c:pt idx="0">
                  <c:v>41275</c:v>
                </c:pt>
                <c:pt idx="1">
                  <c:v>41306</c:v>
                </c:pt>
                <c:pt idx="2">
                  <c:v>41334</c:v>
                </c:pt>
                <c:pt idx="3">
                  <c:v>41365</c:v>
                </c:pt>
                <c:pt idx="4">
                  <c:v>41395</c:v>
                </c:pt>
                <c:pt idx="5">
                  <c:v>41426</c:v>
                </c:pt>
                <c:pt idx="6">
                  <c:v>41456</c:v>
                </c:pt>
                <c:pt idx="7">
                  <c:v>41487</c:v>
                </c:pt>
                <c:pt idx="8">
                  <c:v>41518</c:v>
                </c:pt>
                <c:pt idx="9">
                  <c:v>41548</c:v>
                </c:pt>
                <c:pt idx="10">
                  <c:v>41579</c:v>
                </c:pt>
                <c:pt idx="11">
                  <c:v>41609</c:v>
                </c:pt>
                <c:pt idx="12">
                  <c:v>41640</c:v>
                </c:pt>
                <c:pt idx="13">
                  <c:v>41671</c:v>
                </c:pt>
              </c:numCache>
            </c:numRef>
          </c:cat>
          <c:val>
            <c:numRef>
              <c:f>Sheet1!$B$2:$B$15</c:f>
              <c:numCache>
                <c:formatCode>General</c:formatCode>
                <c:ptCount val="14"/>
                <c:pt idx="0">
                  <c:v>3.86</c:v>
                </c:pt>
                <c:pt idx="1">
                  <c:v>4.18</c:v>
                </c:pt>
                <c:pt idx="2">
                  <c:v>4.34</c:v>
                </c:pt>
                <c:pt idx="3">
                  <c:v>4.13</c:v>
                </c:pt>
                <c:pt idx="4">
                  <c:v>4.2699999999999996</c:v>
                </c:pt>
                <c:pt idx="5">
                  <c:v>4.79</c:v>
                </c:pt>
                <c:pt idx="6">
                  <c:v>4.74</c:v>
                </c:pt>
                <c:pt idx="7">
                  <c:v>4.42</c:v>
                </c:pt>
                <c:pt idx="8">
                  <c:v>4.21</c:v>
                </c:pt>
                <c:pt idx="9">
                  <c:v>4.1499999999999995</c:v>
                </c:pt>
                <c:pt idx="10">
                  <c:v>4.63</c:v>
                </c:pt>
                <c:pt idx="11">
                  <c:v>4.3899999999999997</c:v>
                </c:pt>
                <c:pt idx="12">
                  <c:v>4.1399999999999997</c:v>
                </c:pt>
                <c:pt idx="13" formatCode="0.00_ ">
                  <c:v>3.5</c:v>
                </c:pt>
              </c:numCache>
            </c:numRef>
          </c:val>
          <c:smooth val="0"/>
        </c:ser>
        <c:dLbls>
          <c:showLegendKey val="0"/>
          <c:showVal val="0"/>
          <c:showCatName val="0"/>
          <c:showSerName val="0"/>
          <c:showPercent val="0"/>
          <c:showBubbleSize val="0"/>
        </c:dLbls>
        <c:marker val="1"/>
        <c:smooth val="0"/>
        <c:axId val="60776448"/>
        <c:axId val="60777984"/>
      </c:lineChart>
      <c:dateAx>
        <c:axId val="60776448"/>
        <c:scaling>
          <c:orientation val="minMax"/>
        </c:scaling>
        <c:delete val="0"/>
        <c:axPos val="b"/>
        <c:numFmt formatCode="mmm\-yy" sourceLinked="1"/>
        <c:majorTickMark val="out"/>
        <c:minorTickMark val="none"/>
        <c:tickLblPos val="nextTo"/>
        <c:crossAx val="60777984"/>
        <c:crosses val="autoZero"/>
        <c:auto val="1"/>
        <c:lblOffset val="100"/>
        <c:baseTimeUnit val="months"/>
      </c:dateAx>
      <c:valAx>
        <c:axId val="60777984"/>
        <c:scaling>
          <c:orientation val="minMax"/>
        </c:scaling>
        <c:delete val="0"/>
        <c:axPos val="l"/>
        <c:majorGridlines/>
        <c:minorGridlines/>
        <c:numFmt formatCode="#,##0.00_);\(#,##0.00\)" sourceLinked="0"/>
        <c:majorTickMark val="out"/>
        <c:minorTickMark val="none"/>
        <c:tickLblPos val="nextTo"/>
        <c:crossAx val="607764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680</Words>
  <Characters>3877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2</cp:revision>
  <cp:lastPrinted>2014-04-01T16:52:00Z</cp:lastPrinted>
  <dcterms:created xsi:type="dcterms:W3CDTF">2014-04-02T09:11:00Z</dcterms:created>
  <dcterms:modified xsi:type="dcterms:W3CDTF">2014-04-02T09:11:00Z</dcterms:modified>
</cp:coreProperties>
</file>