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drawings/drawing13.xml" ContentType="application/vnd.openxmlformats-officedocument.drawingml.chartshapes+xml"/>
  <Override PartName="/word/charts/chart15.xml" ContentType="application/vnd.openxmlformats-officedocument.drawingml.chart+xml"/>
  <Override PartName="/word/drawings/drawing1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E0" w:rsidRDefault="00EC36E0" w:rsidP="003E215F">
      <w:pPr>
        <w:jc w:val="center"/>
        <w:rPr>
          <w:b/>
          <w:sz w:val="24"/>
        </w:rPr>
      </w:pPr>
      <w:bookmarkStart w:id="0" w:name="_GoBack"/>
      <w:bookmarkEnd w:id="0"/>
      <w:r>
        <w:rPr>
          <w:rFonts w:hint="eastAsia"/>
          <w:b/>
          <w:sz w:val="24"/>
        </w:rPr>
        <w:t xml:space="preserve">ホンジュラス定期報告（経済統計　</w:t>
      </w:r>
      <w:r w:rsidR="002050F2">
        <w:rPr>
          <w:rFonts w:hint="eastAsia"/>
          <w:b/>
          <w:sz w:val="24"/>
        </w:rPr>
        <w:t>２０１２年</w:t>
      </w:r>
      <w:r w:rsidR="002050F2">
        <w:rPr>
          <w:rFonts w:hint="eastAsia"/>
          <w:b/>
          <w:sz w:val="24"/>
        </w:rPr>
        <w:t>1</w:t>
      </w:r>
      <w:r w:rsidR="002050F2">
        <w:rPr>
          <w:rFonts w:hint="eastAsia"/>
          <w:b/>
          <w:sz w:val="24"/>
        </w:rPr>
        <w:t>２</w:t>
      </w:r>
      <w:r w:rsidR="003E215F">
        <w:rPr>
          <w:rFonts w:hint="eastAsia"/>
          <w:b/>
          <w:sz w:val="24"/>
        </w:rPr>
        <w:t>月</w:t>
      </w:r>
      <w:r>
        <w:rPr>
          <w:rFonts w:hint="eastAsia"/>
          <w:b/>
          <w:sz w:val="24"/>
        </w:rPr>
        <w:t>）</w:t>
      </w:r>
    </w:p>
    <w:p w:rsidR="003E215F" w:rsidRDefault="003E215F" w:rsidP="003E215F">
      <w:pPr>
        <w:jc w:val="center"/>
        <w:rPr>
          <w:b/>
          <w:sz w:val="24"/>
        </w:rPr>
      </w:pPr>
      <w:r>
        <w:rPr>
          <w:rFonts w:hint="eastAsia"/>
          <w:b/>
          <w:sz w:val="24"/>
        </w:rPr>
        <w:t>（出典：ホンジュラス中央銀行）</w:t>
      </w:r>
    </w:p>
    <w:p w:rsidR="003E215F" w:rsidRDefault="003E215F" w:rsidP="003E215F">
      <w:pPr>
        <w:jc w:val="center"/>
        <w:rPr>
          <w:b/>
          <w:sz w:val="24"/>
        </w:rPr>
      </w:pPr>
    </w:p>
    <w:p w:rsidR="003E215F" w:rsidRDefault="003E215F" w:rsidP="003E215F">
      <w:pPr>
        <w:rPr>
          <w:szCs w:val="21"/>
        </w:rPr>
      </w:pPr>
      <w:r>
        <w:rPr>
          <w:rFonts w:hint="eastAsia"/>
          <w:szCs w:val="21"/>
        </w:rPr>
        <w:t>１．</w:t>
      </w:r>
      <w:r w:rsidRPr="0040023F">
        <w:rPr>
          <w:rFonts w:hint="eastAsia"/>
          <w:szCs w:val="21"/>
          <w:u w:val="single"/>
        </w:rPr>
        <w:t>インフレ率</w:t>
      </w:r>
    </w:p>
    <w:p w:rsidR="003E215F" w:rsidRDefault="003E215F" w:rsidP="003E215F">
      <w:pPr>
        <w:rPr>
          <w:szCs w:val="21"/>
        </w:rPr>
      </w:pPr>
      <w:r>
        <w:rPr>
          <w:rFonts w:hint="eastAsia"/>
          <w:szCs w:val="21"/>
        </w:rPr>
        <w:t xml:space="preserve">　</w:t>
      </w:r>
      <w:r>
        <w:rPr>
          <w:rFonts w:hint="eastAsia"/>
          <w:szCs w:val="21"/>
        </w:rPr>
        <w:t>2012</w:t>
      </w:r>
      <w:r>
        <w:rPr>
          <w:rFonts w:hint="eastAsia"/>
          <w:szCs w:val="21"/>
        </w:rPr>
        <w:t>年</w:t>
      </w:r>
      <w:r w:rsidR="00DA3D96">
        <w:rPr>
          <w:rFonts w:hint="eastAsia"/>
          <w:szCs w:val="21"/>
        </w:rPr>
        <w:t>12</w:t>
      </w:r>
      <w:r w:rsidR="00DA3D96">
        <w:rPr>
          <w:rFonts w:hint="eastAsia"/>
          <w:szCs w:val="21"/>
        </w:rPr>
        <w:t>月期の年間</w:t>
      </w:r>
      <w:r>
        <w:rPr>
          <w:rFonts w:hint="eastAsia"/>
          <w:szCs w:val="21"/>
        </w:rPr>
        <w:t>インフレ率は</w:t>
      </w:r>
      <w:r w:rsidR="00077A1F">
        <w:rPr>
          <w:rFonts w:hint="eastAsia"/>
          <w:szCs w:val="21"/>
        </w:rPr>
        <w:t>5.4</w:t>
      </w:r>
      <w:r w:rsidR="007E5DD3">
        <w:rPr>
          <w:rFonts w:hint="eastAsia"/>
          <w:szCs w:val="21"/>
        </w:rPr>
        <w:t>％</w:t>
      </w:r>
      <w:r w:rsidR="00077A1F">
        <w:rPr>
          <w:rFonts w:hint="eastAsia"/>
          <w:szCs w:val="21"/>
        </w:rPr>
        <w:t>（前年は</w:t>
      </w:r>
      <w:r w:rsidR="00077A1F">
        <w:rPr>
          <w:rFonts w:hint="eastAsia"/>
          <w:szCs w:val="21"/>
        </w:rPr>
        <w:t>5.6</w:t>
      </w:r>
      <w:r w:rsidR="00077A1F">
        <w:rPr>
          <w:rFonts w:hint="eastAsia"/>
          <w:szCs w:val="21"/>
        </w:rPr>
        <w:t>％）</w:t>
      </w:r>
      <w:r w:rsidR="007E5DD3">
        <w:rPr>
          <w:rFonts w:hint="eastAsia"/>
          <w:szCs w:val="21"/>
        </w:rPr>
        <w:t>であった。</w:t>
      </w:r>
      <w:r w:rsidR="00077A1F">
        <w:rPr>
          <w:rFonts w:hint="eastAsia"/>
          <w:szCs w:val="21"/>
        </w:rPr>
        <w:t>2012</w:t>
      </w:r>
      <w:r w:rsidR="00077A1F">
        <w:rPr>
          <w:rFonts w:hint="eastAsia"/>
          <w:szCs w:val="21"/>
        </w:rPr>
        <w:t>年度</w:t>
      </w:r>
      <w:r w:rsidR="001C2E16">
        <w:rPr>
          <w:rFonts w:hint="eastAsia"/>
          <w:szCs w:val="21"/>
        </w:rPr>
        <w:t>の主な</w:t>
      </w:r>
      <w:r w:rsidR="007E5DD3">
        <w:rPr>
          <w:rFonts w:hint="eastAsia"/>
          <w:szCs w:val="21"/>
        </w:rPr>
        <w:t>インフレ</w:t>
      </w:r>
      <w:r w:rsidR="001C2E16">
        <w:rPr>
          <w:rFonts w:hint="eastAsia"/>
          <w:szCs w:val="21"/>
        </w:rPr>
        <w:t>要因は、</w:t>
      </w:r>
      <w:r w:rsidR="00077A1F">
        <w:rPr>
          <w:rFonts w:hint="eastAsia"/>
          <w:szCs w:val="21"/>
        </w:rPr>
        <w:t>食料価格、</w:t>
      </w:r>
      <w:r w:rsidR="001C2E16">
        <w:rPr>
          <w:rFonts w:hint="eastAsia"/>
          <w:szCs w:val="21"/>
        </w:rPr>
        <w:t>水道料金、電力料金、</w:t>
      </w:r>
      <w:r w:rsidR="00077A1F">
        <w:rPr>
          <w:rFonts w:hint="eastAsia"/>
          <w:szCs w:val="21"/>
        </w:rPr>
        <w:t>及び</w:t>
      </w:r>
      <w:r w:rsidR="001C2E16">
        <w:rPr>
          <w:rFonts w:hint="eastAsia"/>
          <w:szCs w:val="21"/>
        </w:rPr>
        <w:t>交通・運輸料金の上昇</w:t>
      </w:r>
      <w:r w:rsidR="007E5DD3">
        <w:rPr>
          <w:rFonts w:hint="eastAsia"/>
          <w:szCs w:val="21"/>
        </w:rPr>
        <w:t>によるものである。</w:t>
      </w:r>
    </w:p>
    <w:p w:rsidR="003E215F" w:rsidRDefault="000D066C" w:rsidP="000D066C">
      <w:pPr>
        <w:jc w:val="center"/>
        <w:rPr>
          <w:szCs w:val="21"/>
        </w:rPr>
      </w:pPr>
      <w:r w:rsidRPr="000D066C">
        <w:rPr>
          <w:noProof/>
          <w:szCs w:val="21"/>
        </w:rPr>
        <w:drawing>
          <wp:inline distT="0" distB="0" distL="0" distR="0">
            <wp:extent cx="4582010" cy="2721685"/>
            <wp:effectExtent l="19050" t="0" r="28090" b="2465"/>
            <wp:docPr id="10"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215F" w:rsidRDefault="003E215F" w:rsidP="003E215F"/>
    <w:p w:rsidR="00077A1F" w:rsidRDefault="00D1568D" w:rsidP="003E215F">
      <w:r>
        <w:rPr>
          <w:rFonts w:hint="eastAsia"/>
        </w:rPr>
        <w:t>2</w:t>
      </w:r>
      <w:r>
        <w:rPr>
          <w:rFonts w:hint="eastAsia"/>
        </w:rPr>
        <w:t>．経済成長</w:t>
      </w:r>
    </w:p>
    <w:p w:rsidR="00D1568D" w:rsidRDefault="00D1568D" w:rsidP="003E215F">
      <w:r>
        <w:rPr>
          <w:rFonts w:hint="eastAsia"/>
        </w:rPr>
        <w:t xml:space="preserve">　</w:t>
      </w:r>
      <w:r>
        <w:rPr>
          <w:rFonts w:hint="eastAsia"/>
        </w:rPr>
        <w:t>2012</w:t>
      </w:r>
      <w:r>
        <w:rPr>
          <w:rFonts w:hint="eastAsia"/>
        </w:rPr>
        <w:t>年の経済成長は、</w:t>
      </w:r>
      <w:r w:rsidR="00AA349C">
        <w:rPr>
          <w:rFonts w:hint="eastAsia"/>
        </w:rPr>
        <w:t>不安定な世界経済による輸出の減速及び</w:t>
      </w:r>
      <w:r>
        <w:rPr>
          <w:rFonts w:hint="eastAsia"/>
        </w:rPr>
        <w:t>内需の低迷により、前年度の</w:t>
      </w:r>
      <w:r>
        <w:rPr>
          <w:rFonts w:hint="eastAsia"/>
        </w:rPr>
        <w:t>3.7</w:t>
      </w:r>
      <w:r w:rsidR="00DA3D96">
        <w:rPr>
          <w:rFonts w:hint="eastAsia"/>
        </w:rPr>
        <w:t>％より</w:t>
      </w:r>
      <w:r>
        <w:rPr>
          <w:rFonts w:hint="eastAsia"/>
        </w:rPr>
        <w:t>0.4</w:t>
      </w:r>
      <w:r>
        <w:rPr>
          <w:rFonts w:hint="eastAsia"/>
        </w:rPr>
        <w:t>ポイント低い</w:t>
      </w:r>
      <w:r>
        <w:rPr>
          <w:rFonts w:hint="eastAsia"/>
        </w:rPr>
        <w:t>3.3</w:t>
      </w:r>
      <w:r>
        <w:rPr>
          <w:rFonts w:hint="eastAsia"/>
        </w:rPr>
        <w:t>％と減速した。</w:t>
      </w:r>
    </w:p>
    <w:p w:rsidR="00D77440" w:rsidRDefault="00D77440" w:rsidP="003E215F"/>
    <w:p w:rsidR="00D1568D" w:rsidRDefault="00D1568D" w:rsidP="00D1568D">
      <w:pPr>
        <w:jc w:val="center"/>
      </w:pPr>
      <w:r w:rsidRPr="00D1568D">
        <w:rPr>
          <w:noProof/>
        </w:rPr>
        <w:drawing>
          <wp:inline distT="0" distB="0" distL="0" distR="0">
            <wp:extent cx="4582010" cy="2506532"/>
            <wp:effectExtent l="19050" t="0" r="28090" b="8068"/>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568D" w:rsidRDefault="00D1568D" w:rsidP="003E215F"/>
    <w:p w:rsidR="00D1568D" w:rsidRDefault="00D1568D" w:rsidP="003E215F"/>
    <w:p w:rsidR="00DA3D96" w:rsidRDefault="00DA3D96" w:rsidP="003E215F"/>
    <w:p w:rsidR="00226541" w:rsidRDefault="00D1568D" w:rsidP="003E215F">
      <w:r>
        <w:rPr>
          <w:rFonts w:hint="eastAsia"/>
        </w:rPr>
        <w:t>3</w:t>
      </w:r>
      <w:r w:rsidR="002E3E11">
        <w:rPr>
          <w:rFonts w:hint="eastAsia"/>
        </w:rPr>
        <w:t>．</w:t>
      </w:r>
      <w:r w:rsidR="002E3E11" w:rsidRPr="0040023F">
        <w:rPr>
          <w:rFonts w:hint="eastAsia"/>
          <w:u w:val="single"/>
        </w:rPr>
        <w:t>経済活動指標</w:t>
      </w:r>
    </w:p>
    <w:p w:rsidR="00DC1DA3" w:rsidRDefault="002E3E11" w:rsidP="003E215F">
      <w:r>
        <w:rPr>
          <w:rFonts w:hint="eastAsia"/>
        </w:rPr>
        <w:t xml:space="preserve">　</w:t>
      </w:r>
      <w:r w:rsidR="004D0979">
        <w:rPr>
          <w:rFonts w:hint="eastAsia"/>
        </w:rPr>
        <w:t>2012</w:t>
      </w:r>
      <w:r w:rsidR="00504A0C">
        <w:rPr>
          <w:rFonts w:hint="eastAsia"/>
        </w:rPr>
        <w:t>年度最も活況な経済活動を見せた分野は、通信</w:t>
      </w:r>
      <w:r w:rsidR="00504A0C">
        <w:rPr>
          <w:rFonts w:hint="eastAsia"/>
        </w:rPr>
        <w:t>8.4</w:t>
      </w:r>
      <w:r w:rsidR="00504A0C">
        <w:rPr>
          <w:rFonts w:hint="eastAsia"/>
        </w:rPr>
        <w:t>％、続いて農業</w:t>
      </w:r>
      <w:r w:rsidR="00504A0C">
        <w:rPr>
          <w:rFonts w:hint="eastAsia"/>
        </w:rPr>
        <w:t>8.1</w:t>
      </w:r>
      <w:r w:rsidR="00504A0C">
        <w:rPr>
          <w:rFonts w:hint="eastAsia"/>
        </w:rPr>
        <w:t>％、</w:t>
      </w:r>
      <w:r w:rsidR="00DC1DA3">
        <w:rPr>
          <w:rFonts w:hint="eastAsia"/>
        </w:rPr>
        <w:t>銀行・保険</w:t>
      </w:r>
      <w:r w:rsidR="00504A0C">
        <w:rPr>
          <w:rFonts w:hint="eastAsia"/>
        </w:rPr>
        <w:t>5.4</w:t>
      </w:r>
      <w:r w:rsidR="00DC1DA3">
        <w:rPr>
          <w:rFonts w:hint="eastAsia"/>
        </w:rPr>
        <w:t>％、運輸</w:t>
      </w:r>
      <w:r w:rsidR="00504A0C">
        <w:rPr>
          <w:rFonts w:hint="eastAsia"/>
        </w:rPr>
        <w:t>4.7</w:t>
      </w:r>
      <w:r w:rsidR="00DA3D96">
        <w:rPr>
          <w:rFonts w:hint="eastAsia"/>
        </w:rPr>
        <w:t>％であった。通信分野については、前年度よりも減少したものの、携帯電話、インターネット等のサービス活動が前年に続き活況であった</w:t>
      </w:r>
      <w:r w:rsidR="00504A0C">
        <w:rPr>
          <w:rFonts w:hint="eastAsia"/>
        </w:rPr>
        <w:t>。農業分野については</w:t>
      </w:r>
      <w:r w:rsidR="00DA3D96">
        <w:rPr>
          <w:rFonts w:hint="eastAsia"/>
        </w:rPr>
        <w:t>、コーヒー、バナナ、アフリカン・パーム椰子油及び養殖エビの輸出が拡大した</w:t>
      </w:r>
      <w:r w:rsidR="00504A0C">
        <w:rPr>
          <w:rFonts w:hint="eastAsia"/>
        </w:rPr>
        <w:t>。</w:t>
      </w:r>
    </w:p>
    <w:p w:rsidR="00DC1DA3" w:rsidRPr="008575B8" w:rsidRDefault="004D0979" w:rsidP="004D0979">
      <w:pPr>
        <w:jc w:val="center"/>
      </w:pPr>
      <w:r w:rsidRPr="004D0979">
        <w:rPr>
          <w:noProof/>
        </w:rPr>
        <w:drawing>
          <wp:inline distT="0" distB="0" distL="0" distR="0">
            <wp:extent cx="5914053" cy="2904564"/>
            <wp:effectExtent l="19050" t="0" r="10497"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2135" w:rsidRDefault="00F02135" w:rsidP="003E215F"/>
    <w:p w:rsidR="00DC1DA3" w:rsidRPr="00D22476" w:rsidRDefault="00F02135" w:rsidP="003E215F">
      <w:r>
        <w:rPr>
          <w:rFonts w:hint="eastAsia"/>
        </w:rPr>
        <w:t>4</w:t>
      </w:r>
      <w:r w:rsidR="00DC1DA3">
        <w:rPr>
          <w:rFonts w:hint="eastAsia"/>
        </w:rPr>
        <w:t>．</w:t>
      </w:r>
      <w:r w:rsidR="00DC1DA3" w:rsidRPr="0040023F">
        <w:rPr>
          <w:rFonts w:hint="eastAsia"/>
          <w:u w:val="single"/>
        </w:rPr>
        <w:t>貿易収支</w:t>
      </w:r>
      <w:r w:rsidR="00226541" w:rsidRPr="00D22476">
        <w:rPr>
          <w:rFonts w:hint="eastAsia"/>
          <w:u w:val="single"/>
        </w:rPr>
        <w:t>（</w:t>
      </w:r>
      <w:r w:rsidR="00AC2151" w:rsidRPr="00D22476">
        <w:rPr>
          <w:rFonts w:hint="eastAsia"/>
          <w:u w:val="single"/>
        </w:rPr>
        <w:t>サービスを含まない</w:t>
      </w:r>
      <w:r w:rsidR="00226541" w:rsidRPr="00D22476">
        <w:rPr>
          <w:rFonts w:hint="eastAsia"/>
          <w:u w:val="single"/>
        </w:rPr>
        <w:t>）</w:t>
      </w:r>
    </w:p>
    <w:p w:rsidR="00EB4F8C" w:rsidRDefault="00BB5BAA" w:rsidP="003E215F">
      <w:r w:rsidRPr="00D22476">
        <w:rPr>
          <w:rFonts w:hint="eastAsia"/>
        </w:rPr>
        <w:t xml:space="preserve">　</w:t>
      </w:r>
      <w:r w:rsidR="001B2FF9" w:rsidRPr="00D22476">
        <w:rPr>
          <w:rFonts w:hint="eastAsia"/>
        </w:rPr>
        <w:t>2012</w:t>
      </w:r>
      <w:r w:rsidR="001B2FF9" w:rsidRPr="00D22476">
        <w:rPr>
          <w:rFonts w:hint="eastAsia"/>
        </w:rPr>
        <w:t>年</w:t>
      </w:r>
      <w:r w:rsidR="00504A0C">
        <w:rPr>
          <w:rFonts w:hint="eastAsia"/>
        </w:rPr>
        <w:t>度</w:t>
      </w:r>
      <w:r w:rsidR="001B2FF9" w:rsidRPr="00D22476">
        <w:rPr>
          <w:rFonts w:hint="eastAsia"/>
        </w:rPr>
        <w:t>の</w:t>
      </w:r>
      <w:r w:rsidR="00DD59F3" w:rsidRPr="00D22476">
        <w:rPr>
          <w:rFonts w:hint="eastAsia"/>
        </w:rPr>
        <w:t>輸出総額は、</w:t>
      </w:r>
      <w:r w:rsidR="00504A0C">
        <w:rPr>
          <w:rFonts w:hint="eastAsia"/>
        </w:rPr>
        <w:t>79</w:t>
      </w:r>
      <w:r w:rsidR="00DD59F3" w:rsidRPr="00D22476">
        <w:rPr>
          <w:rFonts w:hint="eastAsia"/>
        </w:rPr>
        <w:t>億</w:t>
      </w:r>
      <w:r w:rsidR="00504A0C">
        <w:rPr>
          <w:rFonts w:hint="eastAsia"/>
        </w:rPr>
        <w:t>3,110</w:t>
      </w:r>
      <w:r w:rsidR="00DD59F3" w:rsidRPr="00D22476">
        <w:rPr>
          <w:rFonts w:hint="eastAsia"/>
        </w:rPr>
        <w:t>万米ドル</w:t>
      </w:r>
      <w:r w:rsidR="00FD02DC" w:rsidRPr="00D22476">
        <w:rPr>
          <w:rFonts w:hint="eastAsia"/>
        </w:rPr>
        <w:t>（前</w:t>
      </w:r>
      <w:r w:rsidR="00EB4F8C">
        <w:rPr>
          <w:rFonts w:hint="eastAsia"/>
        </w:rPr>
        <w:t>年度</w:t>
      </w:r>
      <w:r w:rsidR="00AA1BE2" w:rsidRPr="00D22476">
        <w:rPr>
          <w:rFonts w:hint="eastAsia"/>
        </w:rPr>
        <w:t>比</w:t>
      </w:r>
      <w:r w:rsidR="00504A0C">
        <w:rPr>
          <w:rFonts w:hint="eastAsia"/>
        </w:rPr>
        <w:t>1.7</w:t>
      </w:r>
      <w:r w:rsidR="00AA1BE2" w:rsidRPr="00D22476">
        <w:rPr>
          <w:rFonts w:hint="eastAsia"/>
        </w:rPr>
        <w:t>％増</w:t>
      </w:r>
      <w:r w:rsidR="001B2FF9" w:rsidRPr="00D22476">
        <w:rPr>
          <w:rFonts w:hint="eastAsia"/>
        </w:rPr>
        <w:t>）で、</w:t>
      </w:r>
      <w:r w:rsidR="00DD59F3" w:rsidRPr="00D22476">
        <w:rPr>
          <w:rFonts w:hint="eastAsia"/>
        </w:rPr>
        <w:t>内</w:t>
      </w:r>
      <w:r w:rsidR="000339D9">
        <w:rPr>
          <w:rFonts w:hint="eastAsia"/>
        </w:rPr>
        <w:t>43</w:t>
      </w:r>
      <w:r w:rsidR="00DD59F3" w:rsidRPr="00D22476">
        <w:rPr>
          <w:rFonts w:hint="eastAsia"/>
        </w:rPr>
        <w:t>億</w:t>
      </w:r>
      <w:r w:rsidR="000339D9">
        <w:rPr>
          <w:rFonts w:hint="eastAsia"/>
        </w:rPr>
        <w:t>1,090</w:t>
      </w:r>
      <w:r w:rsidR="00DD59F3" w:rsidRPr="00D22476">
        <w:rPr>
          <w:rFonts w:hint="eastAsia"/>
        </w:rPr>
        <w:t>万米ドル（</w:t>
      </w:r>
      <w:r w:rsidR="000339D9">
        <w:rPr>
          <w:rFonts w:hint="eastAsia"/>
        </w:rPr>
        <w:t>54.4</w:t>
      </w:r>
      <w:r w:rsidR="000E2BEA" w:rsidRPr="00D22476">
        <w:rPr>
          <w:rFonts w:hint="eastAsia"/>
        </w:rPr>
        <w:t>％）</w:t>
      </w:r>
      <w:r w:rsidR="00AA1BE2" w:rsidRPr="00D22476">
        <w:rPr>
          <w:rFonts w:hint="eastAsia"/>
        </w:rPr>
        <w:t>が</w:t>
      </w:r>
      <w:r w:rsidR="00DD59F3" w:rsidRPr="00D22476">
        <w:rPr>
          <w:rFonts w:hint="eastAsia"/>
        </w:rPr>
        <w:t>一般財</w:t>
      </w:r>
      <w:r w:rsidR="000E2BEA" w:rsidRPr="00D22476">
        <w:rPr>
          <w:rFonts w:hint="eastAsia"/>
        </w:rPr>
        <w:t>（</w:t>
      </w:r>
      <w:r w:rsidR="00FD02DC" w:rsidRPr="00D22476">
        <w:rPr>
          <w:rFonts w:hint="eastAsia"/>
        </w:rPr>
        <w:t>前年度</w:t>
      </w:r>
      <w:r w:rsidR="000339D9">
        <w:rPr>
          <w:rFonts w:hint="eastAsia"/>
        </w:rPr>
        <w:t>50.1</w:t>
      </w:r>
      <w:r w:rsidR="000339D9">
        <w:rPr>
          <w:rFonts w:hint="eastAsia"/>
        </w:rPr>
        <w:t>％</w:t>
      </w:r>
      <w:r w:rsidR="00744574" w:rsidRPr="00D22476">
        <w:rPr>
          <w:rFonts w:hint="eastAsia"/>
        </w:rPr>
        <w:t>）</w:t>
      </w:r>
      <w:r w:rsidR="00DD59F3" w:rsidRPr="00D22476">
        <w:rPr>
          <w:rFonts w:hint="eastAsia"/>
        </w:rPr>
        <w:t>、</w:t>
      </w:r>
      <w:r w:rsidR="000339D9">
        <w:rPr>
          <w:rFonts w:hint="eastAsia"/>
        </w:rPr>
        <w:t>34</w:t>
      </w:r>
      <w:r w:rsidR="00DD59F3" w:rsidRPr="00D22476">
        <w:rPr>
          <w:rFonts w:hint="eastAsia"/>
        </w:rPr>
        <w:t>億</w:t>
      </w:r>
      <w:r w:rsidR="000339D9">
        <w:rPr>
          <w:rFonts w:hint="eastAsia"/>
        </w:rPr>
        <w:t>9,230</w:t>
      </w:r>
      <w:r w:rsidR="00DD59F3" w:rsidRPr="00D22476">
        <w:rPr>
          <w:rFonts w:hint="eastAsia"/>
        </w:rPr>
        <w:t>万米ドル（</w:t>
      </w:r>
      <w:r w:rsidR="000339D9">
        <w:rPr>
          <w:rFonts w:hint="eastAsia"/>
        </w:rPr>
        <w:t>44.0</w:t>
      </w:r>
      <w:r w:rsidR="00AA1BE2" w:rsidRPr="00D22476">
        <w:rPr>
          <w:rFonts w:hint="eastAsia"/>
        </w:rPr>
        <w:t>％）がマキラドーラ</w:t>
      </w:r>
      <w:r w:rsidR="000E2BEA" w:rsidRPr="00D22476">
        <w:rPr>
          <w:rFonts w:hint="eastAsia"/>
        </w:rPr>
        <w:t>（</w:t>
      </w:r>
      <w:r w:rsidR="00FD02DC" w:rsidRPr="00D22476">
        <w:rPr>
          <w:rFonts w:hint="eastAsia"/>
        </w:rPr>
        <w:t>前年度</w:t>
      </w:r>
      <w:r w:rsidR="000339D9">
        <w:rPr>
          <w:rFonts w:hint="eastAsia"/>
        </w:rPr>
        <w:t>48.5%</w:t>
      </w:r>
      <w:r w:rsidR="00744574" w:rsidRPr="00D22476">
        <w:rPr>
          <w:rFonts w:hint="eastAsia"/>
        </w:rPr>
        <w:t>）</w:t>
      </w:r>
      <w:r w:rsidR="00AA1BE2" w:rsidRPr="00D22476">
        <w:rPr>
          <w:rFonts w:hint="eastAsia"/>
        </w:rPr>
        <w:t>である。</w:t>
      </w:r>
    </w:p>
    <w:p w:rsidR="000339D9" w:rsidRDefault="000339D9" w:rsidP="00EB4F8C">
      <w:pPr>
        <w:ind w:firstLineChars="100" w:firstLine="210"/>
      </w:pPr>
      <w:r>
        <w:rPr>
          <w:rFonts w:hint="eastAsia"/>
        </w:rPr>
        <w:t>今年度の一般材の輸出額は、</w:t>
      </w:r>
      <w:r w:rsidR="00740D1F">
        <w:rPr>
          <w:rFonts w:hint="eastAsia"/>
        </w:rPr>
        <w:t>前年度に比べ</w:t>
      </w:r>
      <w:r w:rsidR="00740D1F">
        <w:rPr>
          <w:rFonts w:hint="eastAsia"/>
        </w:rPr>
        <w:t>10.3</w:t>
      </w:r>
      <w:r w:rsidR="00BB7F14">
        <w:rPr>
          <w:rFonts w:hint="eastAsia"/>
        </w:rPr>
        <w:t>％増加した。主な要因は、コーヒー、</w:t>
      </w:r>
      <w:r w:rsidR="00D00BB9">
        <w:rPr>
          <w:rFonts w:hint="eastAsia"/>
        </w:rPr>
        <w:t>バナナ、</w:t>
      </w:r>
      <w:r w:rsidR="00BB7F14">
        <w:rPr>
          <w:rFonts w:hint="eastAsia"/>
        </w:rPr>
        <w:t>アフリカン椰子油</w:t>
      </w:r>
      <w:r w:rsidR="00D00BB9">
        <w:rPr>
          <w:rFonts w:hint="eastAsia"/>
        </w:rPr>
        <w:t>及び紙</w:t>
      </w:r>
      <w:r w:rsidR="00BB7F14">
        <w:rPr>
          <w:rFonts w:hint="eastAsia"/>
        </w:rPr>
        <w:t>の輸出の増加である</w:t>
      </w:r>
      <w:r w:rsidR="00740D1F">
        <w:rPr>
          <w:rFonts w:hint="eastAsia"/>
        </w:rPr>
        <w:t>。</w:t>
      </w:r>
      <w:r w:rsidR="00BB7F14">
        <w:rPr>
          <w:rFonts w:hint="eastAsia"/>
        </w:rPr>
        <w:t>なお、</w:t>
      </w:r>
      <w:r w:rsidR="00740D1F">
        <w:rPr>
          <w:rFonts w:hint="eastAsia"/>
        </w:rPr>
        <w:t>2012</w:t>
      </w:r>
      <w:r w:rsidR="00740D1F">
        <w:rPr>
          <w:rFonts w:hint="eastAsia"/>
        </w:rPr>
        <w:t>年</w:t>
      </w:r>
      <w:r w:rsidR="00BB7F14">
        <w:rPr>
          <w:rFonts w:hint="eastAsia"/>
        </w:rPr>
        <w:t>度</w:t>
      </w:r>
      <w:r w:rsidR="00740D1F">
        <w:rPr>
          <w:rFonts w:hint="eastAsia"/>
        </w:rPr>
        <w:t>のコーヒー価格は前年に比べ</w:t>
      </w:r>
      <w:r w:rsidR="00740D1F">
        <w:rPr>
          <w:rFonts w:hint="eastAsia"/>
        </w:rPr>
        <w:t>21.2</w:t>
      </w:r>
      <w:r w:rsidR="00D00BB9">
        <w:rPr>
          <w:rFonts w:hint="eastAsia"/>
        </w:rPr>
        <w:t>％減少したものの、コーヒーの輸出量が増加したことより、輸出額は</w:t>
      </w:r>
      <w:r w:rsidR="00D00BB9">
        <w:rPr>
          <w:rFonts w:hint="eastAsia"/>
        </w:rPr>
        <w:t>14</w:t>
      </w:r>
      <w:r w:rsidR="00D00BB9">
        <w:rPr>
          <w:rFonts w:hint="eastAsia"/>
        </w:rPr>
        <w:t>億</w:t>
      </w:r>
      <w:r w:rsidR="00D00BB9">
        <w:rPr>
          <w:rFonts w:hint="eastAsia"/>
        </w:rPr>
        <w:t>3,190</w:t>
      </w:r>
      <w:r w:rsidR="00D00BB9">
        <w:rPr>
          <w:rFonts w:hint="eastAsia"/>
        </w:rPr>
        <w:t>万米ドル、</w:t>
      </w:r>
      <w:r w:rsidR="00740D1F">
        <w:rPr>
          <w:rFonts w:hint="eastAsia"/>
        </w:rPr>
        <w:t>前年に比べ</w:t>
      </w:r>
      <w:r w:rsidR="00740D1F">
        <w:rPr>
          <w:rFonts w:hint="eastAsia"/>
        </w:rPr>
        <w:t>5.4</w:t>
      </w:r>
      <w:r w:rsidR="00740D1F">
        <w:rPr>
          <w:rFonts w:hint="eastAsia"/>
        </w:rPr>
        <w:t>％</w:t>
      </w:r>
      <w:r w:rsidR="00BB7F14">
        <w:rPr>
          <w:rFonts w:hint="eastAsia"/>
        </w:rPr>
        <w:t>増加した。</w:t>
      </w:r>
    </w:p>
    <w:p w:rsidR="00744574" w:rsidRPr="00D22476" w:rsidRDefault="000339D9" w:rsidP="000339D9">
      <w:pPr>
        <w:ind w:firstLineChars="100" w:firstLine="210"/>
      </w:pPr>
      <w:r>
        <w:rPr>
          <w:rFonts w:hint="eastAsia"/>
        </w:rPr>
        <w:t>今年度</w:t>
      </w:r>
      <w:r w:rsidR="00D22476" w:rsidRPr="00D22476">
        <w:rPr>
          <w:rFonts w:hint="eastAsia"/>
        </w:rPr>
        <w:t>の</w:t>
      </w:r>
      <w:r w:rsidR="00AC2151" w:rsidRPr="00D22476">
        <w:rPr>
          <w:rFonts w:hint="eastAsia"/>
        </w:rPr>
        <w:t>マ</w:t>
      </w:r>
      <w:r w:rsidR="001332BA" w:rsidRPr="00D22476">
        <w:rPr>
          <w:rFonts w:hint="eastAsia"/>
        </w:rPr>
        <w:t>キラドーラの輸出</w:t>
      </w:r>
      <w:r>
        <w:rPr>
          <w:rFonts w:hint="eastAsia"/>
        </w:rPr>
        <w:t>額は、前年度に比べ</w:t>
      </w:r>
      <w:r>
        <w:rPr>
          <w:rFonts w:hint="eastAsia"/>
        </w:rPr>
        <w:t>7.6</w:t>
      </w:r>
      <w:r>
        <w:rPr>
          <w:rFonts w:hint="eastAsia"/>
        </w:rPr>
        <w:t>％減少し</w:t>
      </w:r>
      <w:r w:rsidR="00740D1F">
        <w:rPr>
          <w:rFonts w:hint="eastAsia"/>
        </w:rPr>
        <w:t>た。主な要因は、</w:t>
      </w:r>
      <w:r>
        <w:rPr>
          <w:rFonts w:hint="eastAsia"/>
        </w:rPr>
        <w:t>米</w:t>
      </w:r>
      <w:r w:rsidR="00740D1F">
        <w:rPr>
          <w:rFonts w:hint="eastAsia"/>
        </w:rPr>
        <w:t>国の繊維製品の需要の減少による同国向け同製品の輸出の減少である。</w:t>
      </w:r>
      <w:r w:rsidR="00D00BB9">
        <w:rPr>
          <w:rFonts w:hint="eastAsia"/>
        </w:rPr>
        <w:t>なお、繊維製品の輸出額は</w:t>
      </w:r>
      <w:r w:rsidR="00D00BB9">
        <w:rPr>
          <w:rFonts w:hint="eastAsia"/>
        </w:rPr>
        <w:t>28</w:t>
      </w:r>
      <w:r w:rsidR="00D00BB9">
        <w:rPr>
          <w:rFonts w:hint="eastAsia"/>
        </w:rPr>
        <w:t>億</w:t>
      </w:r>
      <w:r w:rsidR="00D00BB9">
        <w:rPr>
          <w:rFonts w:hint="eastAsia"/>
        </w:rPr>
        <w:t>6,120</w:t>
      </w:r>
      <w:r w:rsidR="00D00BB9">
        <w:rPr>
          <w:rFonts w:hint="eastAsia"/>
        </w:rPr>
        <w:t>万米ドル、前年に比べ</w:t>
      </w:r>
      <w:r w:rsidR="00D00BB9">
        <w:rPr>
          <w:rFonts w:hint="eastAsia"/>
        </w:rPr>
        <w:t>10.6</w:t>
      </w:r>
      <w:r w:rsidR="00D00BB9">
        <w:rPr>
          <w:rFonts w:hint="eastAsia"/>
        </w:rPr>
        <w:t>％減少した。</w:t>
      </w:r>
      <w:r w:rsidR="00DA3D96">
        <w:rPr>
          <w:rFonts w:hint="eastAsia"/>
        </w:rPr>
        <w:t>一方で、</w:t>
      </w:r>
      <w:r w:rsidR="00B1462B">
        <w:rPr>
          <w:rFonts w:hint="eastAsia"/>
        </w:rPr>
        <w:t>ハーネス及び車輌用部品の輸出額は</w:t>
      </w:r>
      <w:r w:rsidR="00B1462B">
        <w:rPr>
          <w:rFonts w:hint="eastAsia"/>
        </w:rPr>
        <w:t>5</w:t>
      </w:r>
      <w:r w:rsidR="00B1462B">
        <w:rPr>
          <w:rFonts w:hint="eastAsia"/>
        </w:rPr>
        <w:t>億</w:t>
      </w:r>
      <w:r w:rsidR="00B1462B">
        <w:rPr>
          <w:rFonts w:hint="eastAsia"/>
        </w:rPr>
        <w:t>9,410</w:t>
      </w:r>
      <w:r w:rsidR="00B1462B">
        <w:rPr>
          <w:rFonts w:hint="eastAsia"/>
        </w:rPr>
        <w:t>万米ドル、前年に比べ</w:t>
      </w:r>
      <w:r w:rsidR="00B1462B">
        <w:rPr>
          <w:rFonts w:hint="eastAsia"/>
        </w:rPr>
        <w:t>117</w:t>
      </w:r>
      <w:r w:rsidR="00B1462B">
        <w:rPr>
          <w:rFonts w:hint="eastAsia"/>
        </w:rPr>
        <w:t>％増加した。</w:t>
      </w:r>
    </w:p>
    <w:p w:rsidR="00744574" w:rsidRDefault="00744574" w:rsidP="003E215F">
      <w:r w:rsidRPr="00D22476">
        <w:rPr>
          <w:rFonts w:hint="eastAsia"/>
        </w:rPr>
        <w:t xml:space="preserve">　</w:t>
      </w:r>
      <w:r w:rsidRPr="00D22476">
        <w:rPr>
          <w:rFonts w:hint="eastAsia"/>
        </w:rPr>
        <w:t>201</w:t>
      </w:r>
      <w:r w:rsidR="006644EF" w:rsidRPr="00D22476">
        <w:rPr>
          <w:rFonts w:hint="eastAsia"/>
        </w:rPr>
        <w:t>2</w:t>
      </w:r>
      <w:r w:rsidRPr="00D22476">
        <w:rPr>
          <w:rFonts w:hint="eastAsia"/>
        </w:rPr>
        <w:t>年</w:t>
      </w:r>
      <w:r w:rsidR="00BB7F14">
        <w:rPr>
          <w:rFonts w:hint="eastAsia"/>
        </w:rPr>
        <w:t>度</w:t>
      </w:r>
      <w:r w:rsidR="006644EF" w:rsidRPr="00D22476">
        <w:rPr>
          <w:rFonts w:hint="eastAsia"/>
        </w:rPr>
        <w:t>の</w:t>
      </w:r>
      <w:r w:rsidRPr="00D22476">
        <w:rPr>
          <w:rFonts w:hint="eastAsia"/>
        </w:rPr>
        <w:t>輸入総額は、</w:t>
      </w:r>
      <w:r w:rsidR="00BB7F14">
        <w:rPr>
          <w:rFonts w:hint="eastAsia"/>
        </w:rPr>
        <w:t>111</w:t>
      </w:r>
      <w:r w:rsidRPr="00D22476">
        <w:rPr>
          <w:rFonts w:hint="eastAsia"/>
        </w:rPr>
        <w:t>億</w:t>
      </w:r>
      <w:r w:rsidR="00EB4F8C">
        <w:rPr>
          <w:rFonts w:hint="eastAsia"/>
        </w:rPr>
        <w:t>7,920</w:t>
      </w:r>
      <w:r w:rsidRPr="00D22476">
        <w:rPr>
          <w:rFonts w:hint="eastAsia"/>
        </w:rPr>
        <w:t>万米ドル（</w:t>
      </w:r>
      <w:r w:rsidR="00EB4F8C">
        <w:rPr>
          <w:rFonts w:hint="eastAsia"/>
        </w:rPr>
        <w:t>前年度比</w:t>
      </w:r>
      <w:r w:rsidR="00EB4F8C">
        <w:rPr>
          <w:rFonts w:hint="eastAsia"/>
        </w:rPr>
        <w:t>1.7</w:t>
      </w:r>
      <w:r w:rsidRPr="00D22476">
        <w:rPr>
          <w:rFonts w:hint="eastAsia"/>
        </w:rPr>
        <w:t>％</w:t>
      </w:r>
      <w:r w:rsidR="00DA3D96">
        <w:rPr>
          <w:rFonts w:hint="eastAsia"/>
        </w:rPr>
        <w:t>増）</w:t>
      </w:r>
      <w:r w:rsidR="00EB4F8C">
        <w:rPr>
          <w:rFonts w:hint="eastAsia"/>
        </w:rPr>
        <w:t>、</w:t>
      </w:r>
      <w:r w:rsidRPr="00D22476">
        <w:rPr>
          <w:rFonts w:hint="eastAsia"/>
        </w:rPr>
        <w:t>内</w:t>
      </w:r>
      <w:r w:rsidR="00EB4F8C">
        <w:rPr>
          <w:rFonts w:hint="eastAsia"/>
        </w:rPr>
        <w:t>88</w:t>
      </w:r>
      <w:r w:rsidRPr="00D22476">
        <w:rPr>
          <w:rFonts w:hint="eastAsia"/>
        </w:rPr>
        <w:t>億</w:t>
      </w:r>
      <w:r w:rsidR="00EB4F8C">
        <w:rPr>
          <w:rFonts w:hint="eastAsia"/>
        </w:rPr>
        <w:t>820</w:t>
      </w:r>
      <w:r w:rsidRPr="00D22476">
        <w:rPr>
          <w:rFonts w:hint="eastAsia"/>
        </w:rPr>
        <w:t>万米ドル（</w:t>
      </w:r>
      <w:r w:rsidR="00EB4F8C">
        <w:rPr>
          <w:rFonts w:hint="eastAsia"/>
        </w:rPr>
        <w:t>78.8</w:t>
      </w:r>
      <w:r w:rsidR="006644EF" w:rsidRPr="00D22476">
        <w:rPr>
          <w:rFonts w:hint="eastAsia"/>
        </w:rPr>
        <w:t>％）が一般財（</w:t>
      </w:r>
      <w:r w:rsidR="00FD02DC" w:rsidRPr="00D22476">
        <w:rPr>
          <w:rFonts w:hint="eastAsia"/>
        </w:rPr>
        <w:t>前年度</w:t>
      </w:r>
      <w:r w:rsidR="00EB4F8C">
        <w:rPr>
          <w:rFonts w:hint="eastAsia"/>
        </w:rPr>
        <w:t>76.0</w:t>
      </w:r>
      <w:r w:rsidR="00EB4F8C">
        <w:rPr>
          <w:rFonts w:hint="eastAsia"/>
        </w:rPr>
        <w:t>％</w:t>
      </w:r>
      <w:r w:rsidR="00DA3D96">
        <w:rPr>
          <w:rFonts w:hint="eastAsia"/>
        </w:rPr>
        <w:t>）</w:t>
      </w:r>
      <w:r w:rsidRPr="00D22476">
        <w:rPr>
          <w:rFonts w:hint="eastAsia"/>
        </w:rPr>
        <w:t>、</w:t>
      </w:r>
      <w:r w:rsidR="00EB4F8C">
        <w:rPr>
          <w:rFonts w:hint="eastAsia"/>
        </w:rPr>
        <w:t>23</w:t>
      </w:r>
      <w:r w:rsidRPr="00D22476">
        <w:rPr>
          <w:rFonts w:hint="eastAsia"/>
        </w:rPr>
        <w:t>億</w:t>
      </w:r>
      <w:r w:rsidR="00EB4F8C">
        <w:rPr>
          <w:rFonts w:hint="eastAsia"/>
        </w:rPr>
        <w:t>6,830</w:t>
      </w:r>
      <w:r w:rsidR="006644EF" w:rsidRPr="00D22476">
        <w:rPr>
          <w:rFonts w:hint="eastAsia"/>
        </w:rPr>
        <w:t>万米ドル</w:t>
      </w:r>
      <w:r w:rsidR="00D22476" w:rsidRPr="00D22476">
        <w:rPr>
          <w:rFonts w:hint="eastAsia"/>
        </w:rPr>
        <w:t>（</w:t>
      </w:r>
      <w:r w:rsidR="00EB4F8C">
        <w:rPr>
          <w:rFonts w:hint="eastAsia"/>
        </w:rPr>
        <w:t>21.2</w:t>
      </w:r>
      <w:r w:rsidR="00D22476" w:rsidRPr="00D22476">
        <w:rPr>
          <w:rFonts w:hint="eastAsia"/>
        </w:rPr>
        <w:t>％）</w:t>
      </w:r>
      <w:r w:rsidR="006644EF" w:rsidRPr="00D22476">
        <w:rPr>
          <w:rFonts w:hint="eastAsia"/>
        </w:rPr>
        <w:t>がマキラドーラ（</w:t>
      </w:r>
      <w:r w:rsidR="00FD02DC" w:rsidRPr="00D22476">
        <w:rPr>
          <w:rFonts w:hint="eastAsia"/>
        </w:rPr>
        <w:t>前年度</w:t>
      </w:r>
      <w:r w:rsidR="00EB4F8C">
        <w:rPr>
          <w:rFonts w:hint="eastAsia"/>
        </w:rPr>
        <w:t>24.0</w:t>
      </w:r>
      <w:r w:rsidR="00EB4F8C">
        <w:rPr>
          <w:rFonts w:hint="eastAsia"/>
        </w:rPr>
        <w:t>％</w:t>
      </w:r>
      <w:r w:rsidRPr="00D22476">
        <w:rPr>
          <w:rFonts w:hint="eastAsia"/>
        </w:rPr>
        <w:t>）である。</w:t>
      </w:r>
    </w:p>
    <w:p w:rsidR="00EB4F8C" w:rsidRPr="00D22476" w:rsidRDefault="00EB4F8C" w:rsidP="003E215F">
      <w:r>
        <w:rPr>
          <w:rFonts w:hint="eastAsia"/>
        </w:rPr>
        <w:t xml:space="preserve">　今年度の一般材の輸入額は、前年度に比べ</w:t>
      </w:r>
      <w:r>
        <w:rPr>
          <w:rFonts w:hint="eastAsia"/>
        </w:rPr>
        <w:t>5.4</w:t>
      </w:r>
      <w:r w:rsidR="00F02135">
        <w:rPr>
          <w:rFonts w:hint="eastAsia"/>
        </w:rPr>
        <w:t>％増加した。</w:t>
      </w:r>
      <w:r w:rsidR="00F02135">
        <w:rPr>
          <w:rFonts w:hint="eastAsia"/>
        </w:rPr>
        <w:t>2012</w:t>
      </w:r>
      <w:r w:rsidR="00F02135">
        <w:rPr>
          <w:rFonts w:hint="eastAsia"/>
        </w:rPr>
        <w:t>年度輸入された一般材の内訳は、消費財</w:t>
      </w:r>
      <w:r w:rsidR="00F02135">
        <w:rPr>
          <w:rFonts w:hint="eastAsia"/>
        </w:rPr>
        <w:t>31.2</w:t>
      </w:r>
      <w:r w:rsidR="00F02135">
        <w:rPr>
          <w:rFonts w:hint="eastAsia"/>
        </w:rPr>
        <w:t>％、原材料及び中間財</w:t>
      </w:r>
      <w:r w:rsidR="00F02135">
        <w:rPr>
          <w:rFonts w:hint="eastAsia"/>
        </w:rPr>
        <w:t>29.3</w:t>
      </w:r>
      <w:r w:rsidR="00F02135">
        <w:rPr>
          <w:rFonts w:hint="eastAsia"/>
        </w:rPr>
        <w:t>％、燃料</w:t>
      </w:r>
      <w:r w:rsidR="00F02135">
        <w:rPr>
          <w:rFonts w:hint="eastAsia"/>
        </w:rPr>
        <w:t>26.2</w:t>
      </w:r>
      <w:r w:rsidR="00F02135">
        <w:rPr>
          <w:rFonts w:hint="eastAsia"/>
        </w:rPr>
        <w:t>％であった。</w:t>
      </w:r>
    </w:p>
    <w:p w:rsidR="00AA1BE2" w:rsidRDefault="00744574" w:rsidP="003E215F">
      <w:r w:rsidRPr="00D22476">
        <w:rPr>
          <w:rFonts w:hint="eastAsia"/>
        </w:rPr>
        <w:t xml:space="preserve">　</w:t>
      </w:r>
      <w:r w:rsidRPr="00D22476">
        <w:rPr>
          <w:rFonts w:hint="eastAsia"/>
        </w:rPr>
        <w:t>201</w:t>
      </w:r>
      <w:r w:rsidR="006644EF" w:rsidRPr="00D22476">
        <w:rPr>
          <w:rFonts w:hint="eastAsia"/>
        </w:rPr>
        <w:t>2</w:t>
      </w:r>
      <w:r w:rsidRPr="00D22476">
        <w:rPr>
          <w:rFonts w:hint="eastAsia"/>
        </w:rPr>
        <w:t>年</w:t>
      </w:r>
      <w:r w:rsidR="00F02135">
        <w:rPr>
          <w:rFonts w:hint="eastAsia"/>
        </w:rPr>
        <w:t>度</w:t>
      </w:r>
      <w:r w:rsidRPr="00D22476">
        <w:rPr>
          <w:rFonts w:hint="eastAsia"/>
        </w:rPr>
        <w:t>の貿易赤字は、</w:t>
      </w:r>
      <w:r w:rsidR="00F02135">
        <w:rPr>
          <w:rFonts w:hint="eastAsia"/>
        </w:rPr>
        <w:t>32</w:t>
      </w:r>
      <w:r w:rsidRPr="00D22476">
        <w:rPr>
          <w:rFonts w:hint="eastAsia"/>
        </w:rPr>
        <w:t>億</w:t>
      </w:r>
      <w:r w:rsidR="00F02135">
        <w:rPr>
          <w:rFonts w:hint="eastAsia"/>
        </w:rPr>
        <w:t>4,810</w:t>
      </w:r>
      <w:r w:rsidR="00B1462B">
        <w:rPr>
          <w:rFonts w:hint="eastAsia"/>
        </w:rPr>
        <w:t>万米ドル、前年に比べ</w:t>
      </w:r>
      <w:r w:rsidR="00D22476" w:rsidRPr="00D22476">
        <w:rPr>
          <w:rFonts w:hint="eastAsia"/>
        </w:rPr>
        <w:t>1.7</w:t>
      </w:r>
      <w:r w:rsidR="00B1462B">
        <w:rPr>
          <w:rFonts w:hint="eastAsia"/>
        </w:rPr>
        <w:t>％増加した</w:t>
      </w:r>
      <w:r w:rsidRPr="00D22476">
        <w:rPr>
          <w:rFonts w:hint="eastAsia"/>
        </w:rPr>
        <w:t>。</w:t>
      </w:r>
      <w:r w:rsidR="00AA1BE2">
        <w:rPr>
          <w:rFonts w:hint="eastAsia"/>
        </w:rPr>
        <w:t xml:space="preserve">　</w:t>
      </w:r>
    </w:p>
    <w:p w:rsidR="0015154F" w:rsidRDefault="000C7136" w:rsidP="000C7136">
      <w:pPr>
        <w:jc w:val="center"/>
      </w:pPr>
      <w:r w:rsidRPr="000C7136">
        <w:rPr>
          <w:noProof/>
        </w:rPr>
        <w:lastRenderedPageBreak/>
        <w:drawing>
          <wp:inline distT="0" distB="0" distL="0" distR="0">
            <wp:extent cx="4512384" cy="2815964"/>
            <wp:effectExtent l="19050" t="0" r="21516" b="3436"/>
            <wp:docPr id="18"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7136" w:rsidRPr="0015154F" w:rsidRDefault="000C7136" w:rsidP="000C7136">
      <w:pPr>
        <w:jc w:val="center"/>
      </w:pPr>
      <w:r w:rsidRPr="000C7136">
        <w:rPr>
          <w:noProof/>
        </w:rPr>
        <w:drawing>
          <wp:inline distT="0" distB="0" distL="0" distR="0">
            <wp:extent cx="4578798" cy="2474259"/>
            <wp:effectExtent l="19050" t="0" r="12252" b="2241"/>
            <wp:docPr id="19"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2135" w:rsidRDefault="005C0176" w:rsidP="005C0176">
      <w:pPr>
        <w:jc w:val="center"/>
      </w:pPr>
      <w:r w:rsidRPr="005C0176">
        <w:rPr>
          <w:noProof/>
        </w:rPr>
        <w:drawing>
          <wp:inline distT="0" distB="0" distL="0" distR="0">
            <wp:extent cx="4576930" cy="2452743"/>
            <wp:effectExtent l="19050" t="0" r="14120" b="4707"/>
            <wp:docPr id="7"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3D96" w:rsidRDefault="00DA3D96" w:rsidP="005C0176">
      <w:pPr>
        <w:jc w:val="center"/>
      </w:pPr>
    </w:p>
    <w:p w:rsidR="00BB5BAA" w:rsidRDefault="00F02135" w:rsidP="003E215F">
      <w:r>
        <w:rPr>
          <w:rFonts w:hint="eastAsia"/>
        </w:rPr>
        <w:lastRenderedPageBreak/>
        <w:t>5</w:t>
      </w:r>
      <w:r w:rsidR="00BB5BAA">
        <w:rPr>
          <w:rFonts w:hint="eastAsia"/>
        </w:rPr>
        <w:t>．</w:t>
      </w:r>
      <w:r w:rsidR="00C70DEF" w:rsidRPr="00F02135">
        <w:rPr>
          <w:rFonts w:hint="eastAsia"/>
          <w:u w:val="single"/>
        </w:rPr>
        <w:t>政府</w:t>
      </w:r>
      <w:r w:rsidR="00BB5BAA" w:rsidRPr="00F02135">
        <w:rPr>
          <w:rFonts w:hint="eastAsia"/>
          <w:u w:val="single"/>
        </w:rPr>
        <w:t>財</w:t>
      </w:r>
      <w:r w:rsidR="00BB5BAA" w:rsidRPr="0040023F">
        <w:rPr>
          <w:rFonts w:hint="eastAsia"/>
          <w:u w:val="single"/>
        </w:rPr>
        <w:t>政収支</w:t>
      </w:r>
    </w:p>
    <w:p w:rsidR="00BB5BAA" w:rsidRDefault="00BB5BAA" w:rsidP="003E215F">
      <w:r>
        <w:rPr>
          <w:rFonts w:hint="eastAsia"/>
        </w:rPr>
        <w:t xml:space="preserve">　</w:t>
      </w:r>
      <w:r w:rsidR="00482D26">
        <w:rPr>
          <w:rFonts w:hint="eastAsia"/>
        </w:rPr>
        <w:t>2012</w:t>
      </w:r>
      <w:r w:rsidR="00FD02DC">
        <w:rPr>
          <w:rFonts w:hint="eastAsia"/>
        </w:rPr>
        <w:t>年</w:t>
      </w:r>
      <w:r w:rsidR="00F02135">
        <w:rPr>
          <w:rFonts w:hint="eastAsia"/>
        </w:rPr>
        <w:t>度</w:t>
      </w:r>
      <w:r w:rsidR="008C0822">
        <w:rPr>
          <w:rFonts w:hint="eastAsia"/>
        </w:rPr>
        <w:t>の</w:t>
      </w:r>
      <w:r w:rsidR="0019493B">
        <w:rPr>
          <w:rFonts w:hint="eastAsia"/>
        </w:rPr>
        <w:t>政府の</w:t>
      </w:r>
      <w:r w:rsidR="008C0822">
        <w:rPr>
          <w:rFonts w:hint="eastAsia"/>
        </w:rPr>
        <w:t>財政赤字は、</w:t>
      </w:r>
      <w:r w:rsidR="002103A4">
        <w:rPr>
          <w:rFonts w:hint="eastAsia"/>
        </w:rPr>
        <w:t>11</w:t>
      </w:r>
      <w:r w:rsidR="002103A4">
        <w:rPr>
          <w:rFonts w:hint="eastAsia"/>
        </w:rPr>
        <w:t>億</w:t>
      </w:r>
      <w:r w:rsidR="002103A4">
        <w:rPr>
          <w:rFonts w:hint="eastAsia"/>
        </w:rPr>
        <w:t>1,140</w:t>
      </w:r>
      <w:r w:rsidR="002103A4">
        <w:rPr>
          <w:rFonts w:hint="eastAsia"/>
        </w:rPr>
        <w:t>万米ドル</w:t>
      </w:r>
      <w:r w:rsidR="00636710">
        <w:rPr>
          <w:rFonts w:hint="eastAsia"/>
        </w:rPr>
        <w:t>､対</w:t>
      </w:r>
      <w:r w:rsidR="00636710">
        <w:rPr>
          <w:rFonts w:hint="eastAsia"/>
        </w:rPr>
        <w:t>GDP</w:t>
      </w:r>
      <w:r w:rsidR="002103A4">
        <w:rPr>
          <w:rFonts w:hint="eastAsia"/>
        </w:rPr>
        <w:t>比</w:t>
      </w:r>
      <w:r w:rsidR="002103A4">
        <w:rPr>
          <w:rFonts w:hint="eastAsia"/>
        </w:rPr>
        <w:t>6.0</w:t>
      </w:r>
      <w:r w:rsidR="00636710">
        <w:rPr>
          <w:rFonts w:hint="eastAsia"/>
        </w:rPr>
        <w:t>％</w:t>
      </w:r>
      <w:r w:rsidR="00841461">
        <w:rPr>
          <w:rFonts w:hint="eastAsia"/>
        </w:rPr>
        <w:t>と前年に比べ増加した</w:t>
      </w:r>
      <w:r w:rsidR="008C0822">
        <w:rPr>
          <w:rFonts w:hint="eastAsia"/>
        </w:rPr>
        <w:t>。</w:t>
      </w:r>
      <w:r w:rsidR="002103A4">
        <w:rPr>
          <w:rFonts w:hint="eastAsia"/>
        </w:rPr>
        <w:t>2012</w:t>
      </w:r>
      <w:r w:rsidR="002103A4">
        <w:rPr>
          <w:rFonts w:hint="eastAsia"/>
        </w:rPr>
        <w:t>年度の政府の歳入は</w:t>
      </w:r>
      <w:r w:rsidR="002103A4">
        <w:rPr>
          <w:rFonts w:hint="eastAsia"/>
        </w:rPr>
        <w:t>30</w:t>
      </w:r>
      <w:r w:rsidR="002103A4">
        <w:rPr>
          <w:rFonts w:hint="eastAsia"/>
        </w:rPr>
        <w:t>億</w:t>
      </w:r>
      <w:r w:rsidR="002103A4">
        <w:rPr>
          <w:rFonts w:hint="eastAsia"/>
        </w:rPr>
        <w:t>8,970</w:t>
      </w:r>
      <w:r w:rsidR="002103A4">
        <w:rPr>
          <w:rFonts w:hint="eastAsia"/>
        </w:rPr>
        <w:t>万米ドル（対</w:t>
      </w:r>
      <w:r w:rsidR="002103A4">
        <w:rPr>
          <w:rFonts w:hint="eastAsia"/>
        </w:rPr>
        <w:t>GDP</w:t>
      </w:r>
      <w:r w:rsidR="002103A4">
        <w:rPr>
          <w:rFonts w:hint="eastAsia"/>
        </w:rPr>
        <w:t>比</w:t>
      </w:r>
      <w:r w:rsidR="002103A4">
        <w:rPr>
          <w:rFonts w:hint="eastAsia"/>
        </w:rPr>
        <w:t>16.8</w:t>
      </w:r>
      <w:r w:rsidR="002103A4">
        <w:rPr>
          <w:rFonts w:hint="eastAsia"/>
        </w:rPr>
        <w:t>％）、前年度に比べ</w:t>
      </w:r>
      <w:r w:rsidR="002103A4">
        <w:rPr>
          <w:rFonts w:hint="eastAsia"/>
        </w:rPr>
        <w:t>5.9</w:t>
      </w:r>
      <w:r w:rsidR="00841461">
        <w:rPr>
          <w:rFonts w:hint="eastAsia"/>
        </w:rPr>
        <w:t>％の増加に対し</w:t>
      </w:r>
      <w:r w:rsidR="002103A4">
        <w:rPr>
          <w:rFonts w:hint="eastAsia"/>
        </w:rPr>
        <w:t>、歳出は</w:t>
      </w:r>
      <w:r w:rsidR="002103A4">
        <w:rPr>
          <w:rFonts w:hint="eastAsia"/>
        </w:rPr>
        <w:t>42</w:t>
      </w:r>
      <w:r w:rsidR="002103A4">
        <w:rPr>
          <w:rFonts w:hint="eastAsia"/>
        </w:rPr>
        <w:t>億</w:t>
      </w:r>
      <w:r w:rsidR="002103A4">
        <w:rPr>
          <w:rFonts w:hint="eastAsia"/>
        </w:rPr>
        <w:t>110</w:t>
      </w:r>
      <w:r w:rsidR="002103A4">
        <w:rPr>
          <w:rFonts w:hint="eastAsia"/>
        </w:rPr>
        <w:t>万米ドル（対</w:t>
      </w:r>
      <w:r w:rsidR="002103A4">
        <w:rPr>
          <w:rFonts w:hint="eastAsia"/>
        </w:rPr>
        <w:t>GDP</w:t>
      </w:r>
      <w:r w:rsidR="002103A4">
        <w:rPr>
          <w:rFonts w:hint="eastAsia"/>
        </w:rPr>
        <w:t>比</w:t>
      </w:r>
      <w:r w:rsidR="002103A4">
        <w:rPr>
          <w:rFonts w:hint="eastAsia"/>
        </w:rPr>
        <w:t>22.8</w:t>
      </w:r>
      <w:r w:rsidR="002103A4">
        <w:rPr>
          <w:rFonts w:hint="eastAsia"/>
        </w:rPr>
        <w:t>％）、前年度に比べ</w:t>
      </w:r>
      <w:r w:rsidR="002103A4">
        <w:rPr>
          <w:rFonts w:hint="eastAsia"/>
        </w:rPr>
        <w:t>13.5</w:t>
      </w:r>
      <w:r w:rsidR="002103A4">
        <w:rPr>
          <w:rFonts w:hint="eastAsia"/>
        </w:rPr>
        <w:t>％増加した。</w:t>
      </w:r>
    </w:p>
    <w:p w:rsidR="002103A4" w:rsidRDefault="002103A4" w:rsidP="003E215F">
      <w:r>
        <w:rPr>
          <w:rFonts w:hint="eastAsia"/>
        </w:rPr>
        <w:t xml:space="preserve">　</w:t>
      </w:r>
      <w:r>
        <w:rPr>
          <w:rFonts w:hint="eastAsia"/>
        </w:rPr>
        <w:t>2012</w:t>
      </w:r>
      <w:r>
        <w:rPr>
          <w:rFonts w:hint="eastAsia"/>
        </w:rPr>
        <w:t>年度の政府の歳入のうち、税収</w:t>
      </w:r>
      <w:r w:rsidR="00E31B13">
        <w:rPr>
          <w:rFonts w:hint="eastAsia"/>
        </w:rPr>
        <w:t>は</w:t>
      </w:r>
      <w:r w:rsidR="00E31B13">
        <w:rPr>
          <w:rFonts w:hint="eastAsia"/>
        </w:rPr>
        <w:t>26</w:t>
      </w:r>
      <w:r w:rsidR="00E31B13">
        <w:rPr>
          <w:rFonts w:hint="eastAsia"/>
        </w:rPr>
        <w:t>億</w:t>
      </w:r>
      <w:r w:rsidR="00E31B13">
        <w:rPr>
          <w:rFonts w:hint="eastAsia"/>
        </w:rPr>
        <w:t>9,090</w:t>
      </w:r>
      <w:r w:rsidR="00E31B13">
        <w:rPr>
          <w:rFonts w:hint="eastAsia"/>
        </w:rPr>
        <w:t>万米ドル</w:t>
      </w:r>
      <w:r w:rsidR="00E31B13">
        <w:rPr>
          <w:rFonts w:hint="eastAsia"/>
        </w:rPr>
        <w:t>(</w:t>
      </w:r>
      <w:r>
        <w:rPr>
          <w:rFonts w:hint="eastAsia"/>
        </w:rPr>
        <w:t>87.1</w:t>
      </w:r>
      <w:r>
        <w:rPr>
          <w:rFonts w:hint="eastAsia"/>
        </w:rPr>
        <w:t>％</w:t>
      </w:r>
      <w:r w:rsidR="00E31B13">
        <w:rPr>
          <w:rFonts w:hint="eastAsia"/>
        </w:rPr>
        <w:t>)</w:t>
      </w:r>
      <w:r w:rsidR="00841461">
        <w:rPr>
          <w:rFonts w:hint="eastAsia"/>
        </w:rPr>
        <w:t>、前年度に比べ</w:t>
      </w:r>
      <w:r w:rsidR="00E31B13">
        <w:rPr>
          <w:rFonts w:hint="eastAsia"/>
        </w:rPr>
        <w:t>2.8</w:t>
      </w:r>
      <w:r w:rsidR="00841461">
        <w:rPr>
          <w:rFonts w:hint="eastAsia"/>
        </w:rPr>
        <w:t>％</w:t>
      </w:r>
      <w:r w:rsidR="00E31B13">
        <w:rPr>
          <w:rFonts w:hint="eastAsia"/>
        </w:rPr>
        <w:t>増加</w:t>
      </w:r>
      <w:r w:rsidR="00841461">
        <w:rPr>
          <w:rFonts w:hint="eastAsia"/>
        </w:rPr>
        <w:t>した。</w:t>
      </w:r>
    </w:p>
    <w:p w:rsidR="00E31B13" w:rsidRPr="00E31B13" w:rsidRDefault="00E31B13" w:rsidP="003E215F">
      <w:r>
        <w:rPr>
          <w:rFonts w:hint="eastAsia"/>
        </w:rPr>
        <w:t xml:space="preserve">　</w:t>
      </w:r>
      <w:r>
        <w:rPr>
          <w:rFonts w:hint="eastAsia"/>
        </w:rPr>
        <w:t>2012</w:t>
      </w:r>
      <w:r>
        <w:rPr>
          <w:rFonts w:hint="eastAsia"/>
        </w:rPr>
        <w:t>年度の政府の歳出のうち、経常支出は</w:t>
      </w:r>
      <w:r>
        <w:rPr>
          <w:rFonts w:hint="eastAsia"/>
        </w:rPr>
        <w:t>33</w:t>
      </w:r>
      <w:r>
        <w:rPr>
          <w:rFonts w:hint="eastAsia"/>
        </w:rPr>
        <w:t>億</w:t>
      </w:r>
      <w:r>
        <w:rPr>
          <w:rFonts w:hint="eastAsia"/>
        </w:rPr>
        <w:t>2,390</w:t>
      </w:r>
      <w:r>
        <w:rPr>
          <w:rFonts w:hint="eastAsia"/>
        </w:rPr>
        <w:t>万米ドル（</w:t>
      </w:r>
      <w:r>
        <w:rPr>
          <w:rFonts w:hint="eastAsia"/>
        </w:rPr>
        <w:t>79.1</w:t>
      </w:r>
      <w:r>
        <w:rPr>
          <w:rFonts w:hint="eastAsia"/>
        </w:rPr>
        <w:t>％）、前年度に比べ</w:t>
      </w:r>
      <w:r>
        <w:rPr>
          <w:rFonts w:hint="eastAsia"/>
        </w:rPr>
        <w:t>10.8</w:t>
      </w:r>
      <w:r>
        <w:rPr>
          <w:rFonts w:hint="eastAsia"/>
        </w:rPr>
        <w:t>％の増加となった。また、経常支出のうち、公務員の給与は</w:t>
      </w:r>
      <w:r w:rsidR="00336944">
        <w:rPr>
          <w:rFonts w:hint="eastAsia"/>
        </w:rPr>
        <w:t>17</w:t>
      </w:r>
      <w:r w:rsidR="00336944">
        <w:rPr>
          <w:rFonts w:hint="eastAsia"/>
        </w:rPr>
        <w:t>億</w:t>
      </w:r>
      <w:r w:rsidR="00336944">
        <w:rPr>
          <w:rFonts w:hint="eastAsia"/>
        </w:rPr>
        <w:t>8,490</w:t>
      </w:r>
      <w:r w:rsidR="00336944">
        <w:rPr>
          <w:rFonts w:hint="eastAsia"/>
        </w:rPr>
        <w:t>万米ドル</w:t>
      </w:r>
      <w:r w:rsidR="00841461">
        <w:rPr>
          <w:rFonts w:hint="eastAsia"/>
        </w:rPr>
        <w:t>（対経常支出比</w:t>
      </w:r>
      <w:r w:rsidR="00841461">
        <w:rPr>
          <w:rFonts w:hint="eastAsia"/>
        </w:rPr>
        <w:t>53.7</w:t>
      </w:r>
      <w:r w:rsidR="00841461">
        <w:rPr>
          <w:rFonts w:hint="eastAsia"/>
        </w:rPr>
        <w:t>％、対歳出比</w:t>
      </w:r>
      <w:r w:rsidR="00841461">
        <w:rPr>
          <w:rFonts w:hint="eastAsia"/>
        </w:rPr>
        <w:t>42.5</w:t>
      </w:r>
      <w:r w:rsidR="00841461">
        <w:rPr>
          <w:rFonts w:hint="eastAsia"/>
        </w:rPr>
        <w:t>％）</w:t>
      </w:r>
      <w:r w:rsidR="00336944">
        <w:rPr>
          <w:rFonts w:hint="eastAsia"/>
        </w:rPr>
        <w:t>、前年比に比べ</w:t>
      </w:r>
      <w:r w:rsidR="00336944">
        <w:rPr>
          <w:rFonts w:hint="eastAsia"/>
        </w:rPr>
        <w:t>5.0</w:t>
      </w:r>
      <w:r w:rsidR="00336944">
        <w:rPr>
          <w:rFonts w:hint="eastAsia"/>
        </w:rPr>
        <w:t>％の増加となった。</w:t>
      </w:r>
    </w:p>
    <w:p w:rsidR="0086398A" w:rsidRDefault="00AD1968" w:rsidP="0086398A">
      <w:pPr>
        <w:jc w:val="center"/>
      </w:pPr>
      <w:r w:rsidRPr="00AD1968">
        <w:rPr>
          <w:noProof/>
        </w:rPr>
        <w:drawing>
          <wp:inline distT="0" distB="0" distL="0" distR="0">
            <wp:extent cx="4260514" cy="2581835"/>
            <wp:effectExtent l="19050" t="0" r="25736" b="8965"/>
            <wp:docPr id="20"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0822" w:rsidRDefault="005C0176" w:rsidP="003E215F">
      <w:r>
        <w:rPr>
          <w:rFonts w:hint="eastAsia"/>
        </w:rPr>
        <w:t>6</w:t>
      </w:r>
      <w:r w:rsidR="008C0822">
        <w:rPr>
          <w:rFonts w:hint="eastAsia"/>
        </w:rPr>
        <w:t>．</w:t>
      </w:r>
      <w:r w:rsidR="008C0822" w:rsidRPr="0040023F">
        <w:rPr>
          <w:rFonts w:hint="eastAsia"/>
          <w:u w:val="single"/>
        </w:rPr>
        <w:t>本国送金</w:t>
      </w:r>
    </w:p>
    <w:p w:rsidR="008C0822" w:rsidRDefault="00482D26" w:rsidP="003E215F">
      <w:r>
        <w:rPr>
          <w:rFonts w:hint="eastAsia"/>
        </w:rPr>
        <w:t xml:space="preserve">　</w:t>
      </w:r>
      <w:r w:rsidR="008C0822">
        <w:rPr>
          <w:rFonts w:hint="eastAsia"/>
        </w:rPr>
        <w:t>2012</w:t>
      </w:r>
      <w:r w:rsidR="008C0822">
        <w:rPr>
          <w:rFonts w:hint="eastAsia"/>
        </w:rPr>
        <w:t>年</w:t>
      </w:r>
      <w:r w:rsidR="00D00BB9">
        <w:rPr>
          <w:rFonts w:hint="eastAsia"/>
        </w:rPr>
        <w:t>度の</w:t>
      </w:r>
      <w:r w:rsidR="008C0822">
        <w:rPr>
          <w:rFonts w:hint="eastAsia"/>
        </w:rPr>
        <w:t>本国送金額は</w:t>
      </w:r>
      <w:r w:rsidR="00FC422B">
        <w:rPr>
          <w:rFonts w:hint="eastAsia"/>
        </w:rPr>
        <w:t>､</w:t>
      </w:r>
      <w:r w:rsidR="00D00BB9">
        <w:rPr>
          <w:rFonts w:hint="eastAsia"/>
        </w:rPr>
        <w:t>28</w:t>
      </w:r>
      <w:r w:rsidR="00FC422B">
        <w:rPr>
          <w:rFonts w:hint="eastAsia"/>
        </w:rPr>
        <w:t>億</w:t>
      </w:r>
      <w:r w:rsidR="00D00BB9">
        <w:rPr>
          <w:rFonts w:hint="eastAsia"/>
        </w:rPr>
        <w:t>9,390</w:t>
      </w:r>
      <w:r w:rsidR="00085548">
        <w:rPr>
          <w:rFonts w:hint="eastAsia"/>
        </w:rPr>
        <w:t>万米ドル</w:t>
      </w:r>
      <w:r w:rsidR="00D00BB9">
        <w:rPr>
          <w:rFonts w:hint="eastAsia"/>
        </w:rPr>
        <w:t>、前年度に比べ</w:t>
      </w:r>
      <w:r w:rsidR="00D00BB9">
        <w:rPr>
          <w:rFonts w:hint="eastAsia"/>
        </w:rPr>
        <w:t>3.4</w:t>
      </w:r>
      <w:r w:rsidR="00D00BB9">
        <w:rPr>
          <w:rFonts w:hint="eastAsia"/>
        </w:rPr>
        <w:t>％増加した。</w:t>
      </w:r>
    </w:p>
    <w:p w:rsidR="00FC422B" w:rsidRPr="002E1C04" w:rsidRDefault="00841461" w:rsidP="001078ED">
      <w:pPr>
        <w:jc w:val="center"/>
      </w:pPr>
      <w:r w:rsidRPr="00841461">
        <w:rPr>
          <w:noProof/>
        </w:rPr>
        <w:drawing>
          <wp:inline distT="0" distB="0" distL="0" distR="0">
            <wp:extent cx="4572000" cy="2743200"/>
            <wp:effectExtent l="19050" t="0" r="19050" b="0"/>
            <wp:docPr id="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745C" w:rsidRDefault="009E745C" w:rsidP="003E215F"/>
    <w:p w:rsidR="00C70DEF" w:rsidRDefault="00C70DEF" w:rsidP="003E215F"/>
    <w:p w:rsidR="009E745C" w:rsidRDefault="005C0176" w:rsidP="003E215F">
      <w:r>
        <w:rPr>
          <w:rFonts w:hint="eastAsia"/>
        </w:rPr>
        <w:lastRenderedPageBreak/>
        <w:t>7</w:t>
      </w:r>
      <w:r w:rsidR="009E745C">
        <w:rPr>
          <w:rFonts w:hint="eastAsia"/>
        </w:rPr>
        <w:t>．</w:t>
      </w:r>
      <w:r w:rsidR="009E745C" w:rsidRPr="0040023F">
        <w:rPr>
          <w:rFonts w:hint="eastAsia"/>
          <w:u w:val="single"/>
        </w:rPr>
        <w:t>外貨準備高</w:t>
      </w:r>
    </w:p>
    <w:p w:rsidR="00D80F65" w:rsidRDefault="009E745C" w:rsidP="003E215F">
      <w:r>
        <w:rPr>
          <w:rFonts w:hint="eastAsia"/>
        </w:rPr>
        <w:t xml:space="preserve">　</w:t>
      </w:r>
      <w:r>
        <w:rPr>
          <w:rFonts w:hint="eastAsia"/>
        </w:rPr>
        <w:t>2012</w:t>
      </w:r>
      <w:r>
        <w:rPr>
          <w:rFonts w:hint="eastAsia"/>
        </w:rPr>
        <w:t>年</w:t>
      </w:r>
      <w:r w:rsidR="00714CF5">
        <w:rPr>
          <w:rFonts w:hint="eastAsia"/>
        </w:rPr>
        <w:t>12</w:t>
      </w:r>
      <w:r w:rsidR="00714CF5">
        <w:rPr>
          <w:rFonts w:hint="eastAsia"/>
        </w:rPr>
        <w:t>月</w:t>
      </w:r>
      <w:r>
        <w:rPr>
          <w:rFonts w:hint="eastAsia"/>
        </w:rPr>
        <w:t>の外貨準備高は</w:t>
      </w:r>
      <w:r w:rsidR="00714CF5">
        <w:rPr>
          <w:rFonts w:hint="eastAsia"/>
        </w:rPr>
        <w:t>25</w:t>
      </w:r>
      <w:r w:rsidR="00D80F65">
        <w:rPr>
          <w:rFonts w:hint="eastAsia"/>
        </w:rPr>
        <w:t>億</w:t>
      </w:r>
      <w:r w:rsidR="00714CF5">
        <w:rPr>
          <w:rFonts w:hint="eastAsia"/>
        </w:rPr>
        <w:t>7,100</w:t>
      </w:r>
      <w:r w:rsidR="00714CF5">
        <w:rPr>
          <w:rFonts w:hint="eastAsia"/>
        </w:rPr>
        <w:t>万米ドル、前年同時期に比べ</w:t>
      </w:r>
      <w:r w:rsidR="00714CF5">
        <w:rPr>
          <w:rFonts w:hint="eastAsia"/>
        </w:rPr>
        <w:t>2</w:t>
      </w:r>
      <w:r w:rsidR="00714CF5">
        <w:rPr>
          <w:rFonts w:hint="eastAsia"/>
        </w:rPr>
        <w:t>億</w:t>
      </w:r>
      <w:r w:rsidR="00714CF5">
        <w:rPr>
          <w:rFonts w:hint="eastAsia"/>
        </w:rPr>
        <w:t>4,900</w:t>
      </w:r>
      <w:r w:rsidR="00714CF5">
        <w:rPr>
          <w:rFonts w:hint="eastAsia"/>
        </w:rPr>
        <w:t>万米ドル減少した</w:t>
      </w:r>
      <w:r w:rsidR="00D80F65">
        <w:rPr>
          <w:rFonts w:hint="eastAsia"/>
        </w:rPr>
        <w:t>。</w:t>
      </w:r>
      <w:r w:rsidR="00714CF5">
        <w:rPr>
          <w:rFonts w:hint="eastAsia"/>
        </w:rPr>
        <w:t>これは、コーヒーの国際価格の低下及び燃料価格の高騰に因るところが大きい。</w:t>
      </w:r>
    </w:p>
    <w:p w:rsidR="009E745C" w:rsidRDefault="00CD67D1" w:rsidP="001078ED">
      <w:pPr>
        <w:jc w:val="center"/>
      </w:pPr>
      <w:r w:rsidRPr="00CD67D1">
        <w:rPr>
          <w:noProof/>
        </w:rPr>
        <w:drawing>
          <wp:inline distT="0" distB="0" distL="0" distR="0">
            <wp:extent cx="4984489" cy="2947595"/>
            <wp:effectExtent l="19050" t="0" r="25661" b="515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6168C" w:rsidRDefault="0066168C" w:rsidP="001078ED">
      <w:pPr>
        <w:jc w:val="center"/>
      </w:pPr>
    </w:p>
    <w:p w:rsidR="0066168C" w:rsidRPr="009E745C" w:rsidRDefault="0066168C" w:rsidP="001078ED">
      <w:pPr>
        <w:jc w:val="center"/>
      </w:pPr>
    </w:p>
    <w:p w:rsidR="009E745C" w:rsidRDefault="00D77440" w:rsidP="003E215F">
      <w:r>
        <w:rPr>
          <w:rFonts w:hint="eastAsia"/>
        </w:rPr>
        <w:t>8</w:t>
      </w:r>
      <w:r w:rsidR="00284A92">
        <w:rPr>
          <w:rFonts w:hint="eastAsia"/>
        </w:rPr>
        <w:t>．</w:t>
      </w:r>
      <w:r w:rsidR="00284A92" w:rsidRPr="0040023F">
        <w:rPr>
          <w:rFonts w:hint="eastAsia"/>
          <w:u w:val="single"/>
        </w:rPr>
        <w:t>銀行流動性</w:t>
      </w:r>
    </w:p>
    <w:p w:rsidR="00611AFD" w:rsidRDefault="00284A92" w:rsidP="00EB7072">
      <w:r>
        <w:rPr>
          <w:rFonts w:hint="eastAsia"/>
        </w:rPr>
        <w:t xml:space="preserve">　</w:t>
      </w:r>
      <w:r>
        <w:rPr>
          <w:rFonts w:hint="eastAsia"/>
        </w:rPr>
        <w:t>2012</w:t>
      </w:r>
      <w:r>
        <w:rPr>
          <w:rFonts w:hint="eastAsia"/>
        </w:rPr>
        <w:t>年</w:t>
      </w:r>
      <w:r w:rsidR="00714CF5">
        <w:rPr>
          <w:rFonts w:hint="eastAsia"/>
        </w:rPr>
        <w:t>12</w:t>
      </w:r>
      <w:r>
        <w:rPr>
          <w:rFonts w:hint="eastAsia"/>
        </w:rPr>
        <w:t>月期のレンピラによる流動性資金総額は、米ドル換算で</w:t>
      </w:r>
      <w:r w:rsidR="00273329">
        <w:rPr>
          <w:rFonts w:hint="eastAsia"/>
        </w:rPr>
        <w:t>2</w:t>
      </w:r>
      <w:r w:rsidR="00714CF5">
        <w:rPr>
          <w:rFonts w:hint="eastAsia"/>
        </w:rPr>
        <w:t>2</w:t>
      </w:r>
      <w:r>
        <w:rPr>
          <w:rFonts w:hint="eastAsia"/>
        </w:rPr>
        <w:t>億</w:t>
      </w:r>
      <w:r w:rsidR="00714CF5">
        <w:rPr>
          <w:rFonts w:hint="eastAsia"/>
        </w:rPr>
        <w:t>8</w:t>
      </w:r>
      <w:r w:rsidR="00FD02DC">
        <w:rPr>
          <w:rFonts w:hint="eastAsia"/>
        </w:rPr>
        <w:t>,000</w:t>
      </w:r>
      <w:r w:rsidR="00FD02DC">
        <w:rPr>
          <w:rFonts w:hint="eastAsia"/>
        </w:rPr>
        <w:t>万</w:t>
      </w:r>
      <w:r>
        <w:rPr>
          <w:rFonts w:hint="eastAsia"/>
        </w:rPr>
        <w:t>米ドル、外貨による流動性資金総額は</w:t>
      </w:r>
      <w:r w:rsidR="00714CF5">
        <w:rPr>
          <w:rFonts w:hint="eastAsia"/>
        </w:rPr>
        <w:t>12</w:t>
      </w:r>
      <w:r>
        <w:rPr>
          <w:rFonts w:hint="eastAsia"/>
        </w:rPr>
        <w:t>億</w:t>
      </w:r>
      <w:r w:rsidR="00714CF5">
        <w:rPr>
          <w:rFonts w:hint="eastAsia"/>
        </w:rPr>
        <w:t>6</w:t>
      </w:r>
      <w:r w:rsidR="001C2363">
        <w:rPr>
          <w:rFonts w:hint="eastAsia"/>
        </w:rPr>
        <w:t>,000</w:t>
      </w:r>
      <w:r>
        <w:rPr>
          <w:rFonts w:hint="eastAsia"/>
        </w:rPr>
        <w:t>米ドルであった。</w:t>
      </w:r>
    </w:p>
    <w:p w:rsidR="00FD02DC" w:rsidRDefault="00CD67D1" w:rsidP="00EB7072">
      <w:pPr>
        <w:jc w:val="center"/>
      </w:pPr>
      <w:r w:rsidRPr="00CD67D1">
        <w:rPr>
          <w:noProof/>
        </w:rPr>
        <w:drawing>
          <wp:inline distT="0" distB="0" distL="0" distR="0">
            <wp:extent cx="5612802" cy="2818504"/>
            <wp:effectExtent l="19050" t="0" r="25998" b="896"/>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6168C" w:rsidRDefault="0066168C" w:rsidP="00EB7072">
      <w:pPr>
        <w:jc w:val="center"/>
      </w:pPr>
    </w:p>
    <w:p w:rsidR="00DA3D96" w:rsidRDefault="00DA3D96" w:rsidP="00EB7072">
      <w:pPr>
        <w:jc w:val="center"/>
      </w:pPr>
    </w:p>
    <w:p w:rsidR="00FD02DC" w:rsidRDefault="00D77440" w:rsidP="00FD02DC">
      <w:pPr>
        <w:jc w:val="left"/>
      </w:pPr>
      <w:r>
        <w:rPr>
          <w:rFonts w:hint="eastAsia"/>
        </w:rPr>
        <w:lastRenderedPageBreak/>
        <w:t>9</w:t>
      </w:r>
      <w:r w:rsidR="002B5EC1">
        <w:rPr>
          <w:rFonts w:hint="eastAsia"/>
        </w:rPr>
        <w:t>．</w:t>
      </w:r>
      <w:r w:rsidR="00481FCB">
        <w:rPr>
          <w:rFonts w:hint="eastAsia"/>
        </w:rPr>
        <w:t>公的</w:t>
      </w:r>
      <w:r w:rsidR="00E914EF">
        <w:rPr>
          <w:rFonts w:hint="eastAsia"/>
        </w:rPr>
        <w:t>債務</w:t>
      </w:r>
      <w:r w:rsidR="00D6063D">
        <w:rPr>
          <w:rFonts w:hint="eastAsia"/>
        </w:rPr>
        <w:t>（出典：ホンジュラス財務省）</w:t>
      </w:r>
    </w:p>
    <w:p w:rsidR="00E914EF" w:rsidRDefault="00E914EF" w:rsidP="00E914EF">
      <w:pPr>
        <w:ind w:firstLineChars="100" w:firstLine="210"/>
        <w:jc w:val="left"/>
      </w:pPr>
      <w:r>
        <w:rPr>
          <w:rFonts w:hint="eastAsia"/>
        </w:rPr>
        <w:t>2012</w:t>
      </w:r>
      <w:r w:rsidR="007031C8">
        <w:rPr>
          <w:rFonts w:hint="eastAsia"/>
        </w:rPr>
        <w:t>年</w:t>
      </w:r>
      <w:r w:rsidR="007031C8">
        <w:rPr>
          <w:rFonts w:hint="eastAsia"/>
        </w:rPr>
        <w:t>12</w:t>
      </w:r>
      <w:r>
        <w:rPr>
          <w:rFonts w:hint="eastAsia"/>
        </w:rPr>
        <w:t>月</w:t>
      </w:r>
      <w:r w:rsidR="00481FCB">
        <w:rPr>
          <w:rFonts w:hint="eastAsia"/>
        </w:rPr>
        <w:t>末</w:t>
      </w:r>
      <w:r w:rsidR="002B5EC1">
        <w:rPr>
          <w:rFonts w:hint="eastAsia"/>
        </w:rPr>
        <w:t>の</w:t>
      </w:r>
      <w:r w:rsidR="00481FCB">
        <w:rPr>
          <w:rFonts w:hint="eastAsia"/>
        </w:rPr>
        <w:t>公的</w:t>
      </w:r>
      <w:r w:rsidR="00F70764">
        <w:rPr>
          <w:rFonts w:hint="eastAsia"/>
        </w:rPr>
        <w:t>債務総額は、</w:t>
      </w:r>
      <w:r w:rsidR="007031C8">
        <w:rPr>
          <w:rFonts w:hint="eastAsia"/>
        </w:rPr>
        <w:t>63</w:t>
      </w:r>
      <w:r w:rsidR="00683CAB">
        <w:rPr>
          <w:rFonts w:hint="eastAsia"/>
        </w:rPr>
        <w:t>億</w:t>
      </w:r>
      <w:r w:rsidR="007031C8">
        <w:rPr>
          <w:rFonts w:hint="eastAsia"/>
        </w:rPr>
        <w:t>9,690</w:t>
      </w:r>
      <w:r w:rsidR="00683CAB">
        <w:rPr>
          <w:rFonts w:hint="eastAsia"/>
        </w:rPr>
        <w:t>万米ドル（対</w:t>
      </w:r>
      <w:r w:rsidR="00683CAB">
        <w:rPr>
          <w:rFonts w:hint="eastAsia"/>
        </w:rPr>
        <w:t>GDP</w:t>
      </w:r>
      <w:r w:rsidR="00683CAB">
        <w:rPr>
          <w:rFonts w:hint="eastAsia"/>
        </w:rPr>
        <w:t>比</w:t>
      </w:r>
      <w:r w:rsidR="007031C8">
        <w:rPr>
          <w:rFonts w:hint="eastAsia"/>
        </w:rPr>
        <w:t>34.8</w:t>
      </w:r>
      <w:r w:rsidR="00683CAB">
        <w:rPr>
          <w:rFonts w:hint="eastAsia"/>
        </w:rPr>
        <w:t>％）で、内</w:t>
      </w:r>
      <w:r w:rsidR="007031C8">
        <w:rPr>
          <w:rFonts w:hint="eastAsia"/>
        </w:rPr>
        <w:t>36</w:t>
      </w:r>
      <w:r w:rsidR="00683CAB">
        <w:rPr>
          <w:rFonts w:hint="eastAsia"/>
        </w:rPr>
        <w:t>億</w:t>
      </w:r>
      <w:r w:rsidR="007031C8">
        <w:rPr>
          <w:rFonts w:hint="eastAsia"/>
        </w:rPr>
        <w:t>6,570</w:t>
      </w:r>
      <w:r w:rsidR="00683CAB">
        <w:rPr>
          <w:rFonts w:hint="eastAsia"/>
        </w:rPr>
        <w:t>万米ドル（対</w:t>
      </w:r>
      <w:r w:rsidR="00683CAB">
        <w:rPr>
          <w:rFonts w:hint="eastAsia"/>
        </w:rPr>
        <w:t>GDP</w:t>
      </w:r>
      <w:r w:rsidR="00683CAB">
        <w:rPr>
          <w:rFonts w:hint="eastAsia"/>
        </w:rPr>
        <w:t>比</w:t>
      </w:r>
      <w:r w:rsidR="007031C8">
        <w:rPr>
          <w:rFonts w:hint="eastAsia"/>
        </w:rPr>
        <w:t>19.9</w:t>
      </w:r>
      <w:r w:rsidR="00683CAB" w:rsidRPr="002E6CF2">
        <w:rPr>
          <w:rFonts w:hint="eastAsia"/>
        </w:rPr>
        <w:t>％</w:t>
      </w:r>
      <w:r w:rsidR="00683CAB">
        <w:rPr>
          <w:rFonts w:hint="eastAsia"/>
        </w:rPr>
        <w:t>）が</w:t>
      </w:r>
      <w:r w:rsidR="00481FCB">
        <w:rPr>
          <w:rFonts w:hint="eastAsia"/>
        </w:rPr>
        <w:t>公的</w:t>
      </w:r>
      <w:r w:rsidR="00683CAB">
        <w:rPr>
          <w:rFonts w:hint="eastAsia"/>
        </w:rPr>
        <w:t>対外債務、</w:t>
      </w:r>
      <w:r w:rsidR="00683CAB">
        <w:rPr>
          <w:rFonts w:hint="eastAsia"/>
        </w:rPr>
        <w:t>2</w:t>
      </w:r>
      <w:r w:rsidR="007031C8">
        <w:rPr>
          <w:rFonts w:hint="eastAsia"/>
        </w:rPr>
        <w:t>7</w:t>
      </w:r>
      <w:r w:rsidR="00683CAB">
        <w:rPr>
          <w:rFonts w:hint="eastAsia"/>
        </w:rPr>
        <w:t>億</w:t>
      </w:r>
      <w:r w:rsidR="007031C8">
        <w:rPr>
          <w:rFonts w:hint="eastAsia"/>
        </w:rPr>
        <w:t>3,120</w:t>
      </w:r>
      <w:r w:rsidR="00683CAB">
        <w:rPr>
          <w:rFonts w:hint="eastAsia"/>
        </w:rPr>
        <w:t>万米ドル（対</w:t>
      </w:r>
      <w:r w:rsidR="00683CAB">
        <w:rPr>
          <w:rFonts w:hint="eastAsia"/>
        </w:rPr>
        <w:t>GDP</w:t>
      </w:r>
      <w:r w:rsidR="00683CAB">
        <w:rPr>
          <w:rFonts w:hint="eastAsia"/>
        </w:rPr>
        <w:t>比</w:t>
      </w:r>
      <w:r w:rsidR="00683CAB">
        <w:rPr>
          <w:rFonts w:hint="eastAsia"/>
        </w:rPr>
        <w:t>14</w:t>
      </w:r>
      <w:r w:rsidR="007031C8">
        <w:rPr>
          <w:rFonts w:hint="eastAsia"/>
        </w:rPr>
        <w:t>.9</w:t>
      </w:r>
      <w:r w:rsidR="00683CAB">
        <w:rPr>
          <w:rFonts w:hint="eastAsia"/>
        </w:rPr>
        <w:t>％）が</w:t>
      </w:r>
      <w:r w:rsidR="00481FCB">
        <w:rPr>
          <w:rFonts w:hint="eastAsia"/>
        </w:rPr>
        <w:t>公的</w:t>
      </w:r>
      <w:r w:rsidR="00683CAB">
        <w:rPr>
          <w:rFonts w:hint="eastAsia"/>
        </w:rPr>
        <w:t>対内債務である。</w:t>
      </w:r>
    </w:p>
    <w:p w:rsidR="00D77440" w:rsidRDefault="007031C8" w:rsidP="002252D4">
      <w:pPr>
        <w:ind w:firstLineChars="100" w:firstLine="210"/>
        <w:jc w:val="left"/>
      </w:pPr>
      <w:r>
        <w:rPr>
          <w:rFonts w:hint="eastAsia"/>
        </w:rPr>
        <w:t>2012</w:t>
      </w:r>
      <w:r>
        <w:rPr>
          <w:rFonts w:hint="eastAsia"/>
        </w:rPr>
        <w:t>年の</w:t>
      </w:r>
      <w:r w:rsidR="007C2F89">
        <w:rPr>
          <w:rFonts w:hint="eastAsia"/>
        </w:rPr>
        <w:t>公的対外債務は、</w:t>
      </w:r>
      <w:r>
        <w:rPr>
          <w:rFonts w:hint="eastAsia"/>
        </w:rPr>
        <w:t>2008</w:t>
      </w:r>
      <w:r>
        <w:rPr>
          <w:rFonts w:hint="eastAsia"/>
        </w:rPr>
        <w:t>年と比べ</w:t>
      </w:r>
      <w:r w:rsidR="002956D8">
        <w:rPr>
          <w:rFonts w:hint="eastAsia"/>
        </w:rPr>
        <w:t>対</w:t>
      </w:r>
      <w:r w:rsidR="002956D8">
        <w:rPr>
          <w:rFonts w:hint="eastAsia"/>
        </w:rPr>
        <w:t>GDP</w:t>
      </w:r>
      <w:r w:rsidR="002956D8">
        <w:rPr>
          <w:rFonts w:hint="eastAsia"/>
        </w:rPr>
        <w:t>比で</w:t>
      </w:r>
      <w:r>
        <w:rPr>
          <w:rFonts w:hint="eastAsia"/>
        </w:rPr>
        <w:t>20</w:t>
      </w:r>
      <w:r>
        <w:rPr>
          <w:rFonts w:hint="eastAsia"/>
        </w:rPr>
        <w:t>％増加</w:t>
      </w:r>
      <w:r w:rsidR="00A44CB7">
        <w:rPr>
          <w:rFonts w:hint="eastAsia"/>
        </w:rPr>
        <w:t>、</w:t>
      </w:r>
      <w:r w:rsidR="00D6063D">
        <w:rPr>
          <w:rFonts w:hint="eastAsia"/>
        </w:rPr>
        <w:t>公的対内債務は、</w:t>
      </w:r>
      <w:r w:rsidR="00D6063D">
        <w:rPr>
          <w:rFonts w:hint="eastAsia"/>
        </w:rPr>
        <w:t>2008</w:t>
      </w:r>
      <w:r w:rsidR="00D6063D">
        <w:rPr>
          <w:rFonts w:hint="eastAsia"/>
        </w:rPr>
        <w:t>年</w:t>
      </w:r>
      <w:r w:rsidR="00A44CB7">
        <w:rPr>
          <w:rFonts w:hint="eastAsia"/>
        </w:rPr>
        <w:t>と比べ対ＧＤＰ比で約４倍に増加した。この近年の公的債務の構造変化</w:t>
      </w:r>
      <w:r w:rsidR="004A0D0F">
        <w:rPr>
          <w:rFonts w:hint="eastAsia"/>
        </w:rPr>
        <w:t>は</w:t>
      </w:r>
      <w:r w:rsidR="00917E01">
        <w:rPr>
          <w:rFonts w:hint="eastAsia"/>
        </w:rPr>
        <w:t>、世界的な景気後退に加え、ホンジュラスの政治危機（</w:t>
      </w:r>
      <w:r w:rsidR="00917E01">
        <w:rPr>
          <w:rFonts w:hint="eastAsia"/>
        </w:rPr>
        <w:t>2009</w:t>
      </w:r>
      <w:r w:rsidR="00917E01">
        <w:rPr>
          <w:rFonts w:hint="eastAsia"/>
        </w:rPr>
        <w:t>年）により、国際機関が資金の支出を拒否したため、国家機関を機能させるため政府による資金調達の必要性</w:t>
      </w:r>
      <w:r w:rsidR="00DA3D96">
        <w:rPr>
          <w:rFonts w:hint="eastAsia"/>
        </w:rPr>
        <w:t>が増加したことに因る</w:t>
      </w:r>
      <w:r w:rsidR="00917E01">
        <w:rPr>
          <w:rFonts w:hint="eastAsia"/>
        </w:rPr>
        <w:t>。</w:t>
      </w:r>
    </w:p>
    <w:p w:rsidR="00D77440" w:rsidRPr="00D77440" w:rsidRDefault="002252D4" w:rsidP="002252D4">
      <w:pPr>
        <w:ind w:firstLineChars="100" w:firstLine="210"/>
        <w:jc w:val="left"/>
      </w:pPr>
      <w:r>
        <w:rPr>
          <w:rFonts w:hint="eastAsia"/>
        </w:rPr>
        <w:t>2012</w:t>
      </w:r>
      <w:r>
        <w:rPr>
          <w:rFonts w:hint="eastAsia"/>
        </w:rPr>
        <w:t>年</w:t>
      </w:r>
      <w:r w:rsidR="00A44CB7">
        <w:rPr>
          <w:rFonts w:hint="eastAsia"/>
        </w:rPr>
        <w:t>12</w:t>
      </w:r>
      <w:r>
        <w:rPr>
          <w:rFonts w:hint="eastAsia"/>
        </w:rPr>
        <w:t>月末の</w:t>
      </w:r>
      <w:r w:rsidR="00E90B81">
        <w:rPr>
          <w:rFonts w:hint="eastAsia"/>
        </w:rPr>
        <w:t>公的対内債務の内</w:t>
      </w:r>
      <w:r w:rsidR="009535CC">
        <w:rPr>
          <w:rFonts w:hint="eastAsia"/>
        </w:rPr>
        <w:t>、国債発行によるものが</w:t>
      </w:r>
      <w:r w:rsidR="00A44CB7">
        <w:rPr>
          <w:rFonts w:hint="eastAsia"/>
        </w:rPr>
        <w:t>98.8</w:t>
      </w:r>
      <w:r w:rsidR="009535CC">
        <w:rPr>
          <w:rFonts w:hint="eastAsia"/>
        </w:rPr>
        <w:t>％を占める。</w:t>
      </w:r>
      <w:r>
        <w:rPr>
          <w:rFonts w:hint="eastAsia"/>
        </w:rPr>
        <w:t>国債の償還期間</w:t>
      </w:r>
      <w:r w:rsidR="00DA3D96">
        <w:rPr>
          <w:rFonts w:hint="eastAsia"/>
        </w:rPr>
        <w:t>については</w:t>
      </w:r>
      <w:r>
        <w:rPr>
          <w:rFonts w:hint="eastAsia"/>
        </w:rPr>
        <w:t>、償還</w:t>
      </w:r>
      <w:r w:rsidR="009535CC">
        <w:rPr>
          <w:rFonts w:hint="eastAsia"/>
        </w:rPr>
        <w:t>期間が</w:t>
      </w:r>
      <w:r w:rsidR="009535CC">
        <w:rPr>
          <w:rFonts w:hint="eastAsia"/>
        </w:rPr>
        <w:t>5</w:t>
      </w:r>
      <w:r w:rsidR="009535CC">
        <w:rPr>
          <w:rFonts w:hint="eastAsia"/>
        </w:rPr>
        <w:t>年以下のものが</w:t>
      </w:r>
      <w:r w:rsidR="00DA3D96">
        <w:rPr>
          <w:rFonts w:hint="eastAsia"/>
        </w:rPr>
        <w:t>全体の</w:t>
      </w:r>
      <w:r w:rsidR="00A44CB7">
        <w:rPr>
          <w:rFonts w:hint="eastAsia"/>
        </w:rPr>
        <w:t>93</w:t>
      </w:r>
      <w:r w:rsidR="00A44CB7">
        <w:rPr>
          <w:rFonts w:hint="eastAsia"/>
        </w:rPr>
        <w:t>％</w:t>
      </w:r>
      <w:r w:rsidR="00EF7A19">
        <w:rPr>
          <w:rFonts w:hint="eastAsia"/>
        </w:rPr>
        <w:t>を占める。利率の種類別構成比については、固定利率が</w:t>
      </w:r>
      <w:r w:rsidR="00EF7A19">
        <w:rPr>
          <w:rFonts w:hint="eastAsia"/>
        </w:rPr>
        <w:t>75.4</w:t>
      </w:r>
      <w:r w:rsidR="00EF7A19">
        <w:rPr>
          <w:rFonts w:hint="eastAsia"/>
        </w:rPr>
        <w:t>％、変動利率が</w:t>
      </w:r>
      <w:r w:rsidR="00EF7A19">
        <w:rPr>
          <w:rFonts w:hint="eastAsia"/>
        </w:rPr>
        <w:t>24.6</w:t>
      </w:r>
      <w:r w:rsidR="00EF7A19">
        <w:rPr>
          <w:rFonts w:hint="eastAsia"/>
        </w:rPr>
        <w:t>％である</w:t>
      </w:r>
      <w:r>
        <w:rPr>
          <w:rFonts w:hint="eastAsia"/>
        </w:rPr>
        <w:t>。また、議会が承認した</w:t>
      </w:r>
      <w:r>
        <w:rPr>
          <w:rFonts w:hint="eastAsia"/>
        </w:rPr>
        <w:t>2012</w:t>
      </w:r>
      <w:r>
        <w:rPr>
          <w:rFonts w:hint="eastAsia"/>
        </w:rPr>
        <w:t>年度の国債発行限度額は</w:t>
      </w:r>
      <w:r w:rsidR="00A44CB7">
        <w:rPr>
          <w:rFonts w:hint="eastAsia"/>
        </w:rPr>
        <w:t>115.058</w:t>
      </w:r>
      <w:r w:rsidR="00A44CB7">
        <w:rPr>
          <w:rFonts w:hint="eastAsia"/>
        </w:rPr>
        <w:t>億</w:t>
      </w:r>
      <w:r w:rsidR="00D77440">
        <w:rPr>
          <w:rFonts w:hint="eastAsia"/>
        </w:rPr>
        <w:t>レンピーラ</w:t>
      </w:r>
      <w:r>
        <w:rPr>
          <w:rFonts w:hint="eastAsia"/>
        </w:rPr>
        <w:t>、</w:t>
      </w:r>
      <w:r w:rsidR="00D77440">
        <w:rPr>
          <w:rFonts w:hint="eastAsia"/>
        </w:rPr>
        <w:t>2012</w:t>
      </w:r>
      <w:r w:rsidR="00D77440">
        <w:rPr>
          <w:rFonts w:hint="eastAsia"/>
        </w:rPr>
        <w:t>年度</w:t>
      </w:r>
      <w:r>
        <w:rPr>
          <w:rFonts w:hint="eastAsia"/>
        </w:rPr>
        <w:t>国債発行総額は</w:t>
      </w:r>
      <w:r w:rsidR="00A44CB7">
        <w:rPr>
          <w:rFonts w:hint="eastAsia"/>
        </w:rPr>
        <w:t>127.381</w:t>
      </w:r>
      <w:r w:rsidR="00A44CB7">
        <w:rPr>
          <w:rFonts w:hint="eastAsia"/>
        </w:rPr>
        <w:t>億</w:t>
      </w:r>
      <w:r>
        <w:rPr>
          <w:rFonts w:hint="eastAsia"/>
        </w:rPr>
        <w:t>万レンピーラ</w:t>
      </w:r>
      <w:r w:rsidR="00D77440">
        <w:rPr>
          <w:rFonts w:hint="eastAsia"/>
        </w:rPr>
        <w:t>であった</w:t>
      </w:r>
      <w:r>
        <w:rPr>
          <w:rFonts w:hint="eastAsia"/>
        </w:rPr>
        <w:t>。</w:t>
      </w:r>
    </w:p>
    <w:p w:rsidR="00D6063D" w:rsidRDefault="00857A5E" w:rsidP="00FA4A0B">
      <w:pPr>
        <w:ind w:firstLineChars="400" w:firstLine="840"/>
        <w:rPr>
          <w:noProof/>
        </w:rPr>
      </w:pPr>
      <w:r w:rsidRPr="00857A5E">
        <w:rPr>
          <w:noProof/>
        </w:rPr>
        <w:drawing>
          <wp:inline distT="0" distB="0" distL="0" distR="0">
            <wp:extent cx="4582010" cy="2334409"/>
            <wp:effectExtent l="19050" t="0" r="28090" b="8741"/>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A3D96" w:rsidRDefault="00EF7A19" w:rsidP="00EF7A19">
      <w:pPr>
        <w:jc w:val="left"/>
        <w:rPr>
          <w:noProof/>
        </w:rPr>
      </w:pPr>
      <w:r w:rsidRPr="00EF7A19">
        <w:rPr>
          <w:noProof/>
        </w:rPr>
        <w:drawing>
          <wp:inline distT="0" distB="0" distL="0" distR="0">
            <wp:extent cx="3251275" cy="2743200"/>
            <wp:effectExtent l="19050" t="0" r="25325" b="0"/>
            <wp:docPr id="11"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EF7A19">
        <w:rPr>
          <w:noProof/>
        </w:rPr>
        <w:drawing>
          <wp:inline distT="0" distB="0" distL="0" distR="0">
            <wp:extent cx="2444452" cy="2743200"/>
            <wp:effectExtent l="19050" t="0" r="12998" b="0"/>
            <wp:docPr id="15"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A3D96" w:rsidRDefault="00DA3D96" w:rsidP="00FA4A0B">
      <w:pPr>
        <w:ind w:firstLineChars="400" w:firstLine="840"/>
        <w:rPr>
          <w:noProof/>
        </w:rPr>
      </w:pPr>
    </w:p>
    <w:p w:rsidR="00EB7072" w:rsidRDefault="0083258D" w:rsidP="0083258D">
      <w:pPr>
        <w:ind w:firstLineChars="100" w:firstLine="210"/>
        <w:jc w:val="left"/>
        <w:rPr>
          <w:noProof/>
        </w:rPr>
      </w:pPr>
      <w:r>
        <w:rPr>
          <w:rFonts w:hint="eastAsia"/>
          <w:noProof/>
        </w:rPr>
        <w:lastRenderedPageBreak/>
        <w:t>10</w:t>
      </w:r>
      <w:r>
        <w:rPr>
          <w:rFonts w:hint="eastAsia"/>
          <w:noProof/>
        </w:rPr>
        <w:t>．</w:t>
      </w:r>
      <w:r w:rsidRPr="00EF7A19">
        <w:rPr>
          <w:rFonts w:hint="eastAsia"/>
          <w:noProof/>
          <w:u w:val="single"/>
        </w:rPr>
        <w:t>外国直接投資</w:t>
      </w:r>
    </w:p>
    <w:p w:rsidR="00636710" w:rsidRDefault="0083258D" w:rsidP="00071A1D">
      <w:pPr>
        <w:ind w:left="210" w:hangingChars="100" w:hanging="210"/>
        <w:jc w:val="left"/>
        <w:rPr>
          <w:noProof/>
        </w:rPr>
      </w:pPr>
      <w:r>
        <w:rPr>
          <w:rFonts w:hint="eastAsia"/>
          <w:noProof/>
        </w:rPr>
        <w:t xml:space="preserve">　　</w:t>
      </w:r>
      <w:r>
        <w:rPr>
          <w:rFonts w:hint="eastAsia"/>
          <w:noProof/>
        </w:rPr>
        <w:t>2012</w:t>
      </w:r>
      <w:r>
        <w:rPr>
          <w:rFonts w:hint="eastAsia"/>
          <w:noProof/>
        </w:rPr>
        <w:t>年度の外国直接投資総額は</w:t>
      </w:r>
      <w:r>
        <w:rPr>
          <w:rFonts w:hint="eastAsia"/>
          <w:noProof/>
        </w:rPr>
        <w:t>10</w:t>
      </w:r>
      <w:r>
        <w:rPr>
          <w:rFonts w:hint="eastAsia"/>
          <w:noProof/>
        </w:rPr>
        <w:t>億</w:t>
      </w:r>
      <w:r>
        <w:rPr>
          <w:rFonts w:hint="eastAsia"/>
          <w:noProof/>
        </w:rPr>
        <w:t>5,850</w:t>
      </w:r>
      <w:r>
        <w:rPr>
          <w:rFonts w:hint="eastAsia"/>
          <w:noProof/>
        </w:rPr>
        <w:t>万米ドル、前年に比べ</w:t>
      </w:r>
      <w:r>
        <w:rPr>
          <w:rFonts w:hint="eastAsia"/>
          <w:noProof/>
        </w:rPr>
        <w:t>4.3</w:t>
      </w:r>
      <w:r>
        <w:rPr>
          <w:rFonts w:hint="eastAsia"/>
          <w:noProof/>
        </w:rPr>
        <w:t>％増加した。主な投資分野は、運輸</w:t>
      </w:r>
      <w:r w:rsidR="009A2037">
        <w:rPr>
          <w:rFonts w:hint="eastAsia"/>
          <w:noProof/>
        </w:rPr>
        <w:t>・</w:t>
      </w:r>
      <w:r>
        <w:rPr>
          <w:rFonts w:hint="eastAsia"/>
          <w:noProof/>
        </w:rPr>
        <w:t>通信</w:t>
      </w:r>
      <w:r w:rsidR="00023282">
        <w:rPr>
          <w:rFonts w:hint="eastAsia"/>
          <w:noProof/>
        </w:rPr>
        <w:t>分野の</w:t>
      </w:r>
      <w:r w:rsidR="00FA4A0B">
        <w:rPr>
          <w:rFonts w:hint="eastAsia"/>
          <w:noProof/>
        </w:rPr>
        <w:t>2</w:t>
      </w:r>
      <w:r w:rsidR="00FA4A0B">
        <w:rPr>
          <w:rFonts w:hint="eastAsia"/>
          <w:noProof/>
        </w:rPr>
        <w:t>億</w:t>
      </w:r>
      <w:r w:rsidR="00FA4A0B">
        <w:rPr>
          <w:rFonts w:hint="eastAsia"/>
          <w:noProof/>
        </w:rPr>
        <w:t>9,540</w:t>
      </w:r>
      <w:r w:rsidR="00FA4A0B">
        <w:rPr>
          <w:rFonts w:hint="eastAsia"/>
          <w:noProof/>
        </w:rPr>
        <w:t>万米ドル（</w:t>
      </w:r>
      <w:r w:rsidR="00FA4A0B">
        <w:rPr>
          <w:rFonts w:hint="eastAsia"/>
          <w:noProof/>
        </w:rPr>
        <w:t>27.9</w:t>
      </w:r>
      <w:r w:rsidR="00023282">
        <w:rPr>
          <w:rFonts w:hint="eastAsia"/>
          <w:noProof/>
        </w:rPr>
        <w:t>％）、</w:t>
      </w:r>
      <w:r w:rsidR="00DA3D96">
        <w:rPr>
          <w:rFonts w:hint="eastAsia"/>
          <w:noProof/>
        </w:rPr>
        <w:t>続いて</w:t>
      </w:r>
      <w:r w:rsidR="00FA4A0B">
        <w:rPr>
          <w:rFonts w:hint="eastAsia"/>
          <w:noProof/>
        </w:rPr>
        <w:t>製造業の</w:t>
      </w:r>
      <w:r w:rsidR="00FA4A0B">
        <w:rPr>
          <w:rFonts w:hint="eastAsia"/>
          <w:noProof/>
        </w:rPr>
        <w:t>2</w:t>
      </w:r>
      <w:r w:rsidR="00FA4A0B">
        <w:rPr>
          <w:rFonts w:hint="eastAsia"/>
          <w:noProof/>
        </w:rPr>
        <w:t>億</w:t>
      </w:r>
      <w:r w:rsidR="00FA4A0B">
        <w:rPr>
          <w:rFonts w:hint="eastAsia"/>
          <w:noProof/>
        </w:rPr>
        <w:t>6,210</w:t>
      </w:r>
      <w:r w:rsidR="00FA4A0B">
        <w:rPr>
          <w:rFonts w:hint="eastAsia"/>
          <w:noProof/>
        </w:rPr>
        <w:t>万米ドル（</w:t>
      </w:r>
      <w:r w:rsidR="00FA4A0B">
        <w:rPr>
          <w:rFonts w:hint="eastAsia"/>
          <w:noProof/>
        </w:rPr>
        <w:t>24.8</w:t>
      </w:r>
      <w:r w:rsidR="00023282">
        <w:rPr>
          <w:rFonts w:hint="eastAsia"/>
          <w:noProof/>
        </w:rPr>
        <w:t>％）であった</w:t>
      </w:r>
      <w:r w:rsidR="00FA4A0B">
        <w:rPr>
          <w:rFonts w:hint="eastAsia"/>
          <w:noProof/>
        </w:rPr>
        <w:t>。</w:t>
      </w:r>
    </w:p>
    <w:p w:rsidR="00071A1D" w:rsidRPr="00071A1D" w:rsidRDefault="00071A1D" w:rsidP="00071A1D">
      <w:pPr>
        <w:ind w:left="210" w:hangingChars="100" w:hanging="210"/>
        <w:jc w:val="left"/>
        <w:rPr>
          <w:noProof/>
        </w:rPr>
      </w:pPr>
      <w:r>
        <w:rPr>
          <w:rFonts w:hint="eastAsia"/>
          <w:noProof/>
        </w:rPr>
        <w:t xml:space="preserve">　　ホンジュラスの地理・歴史・経済的要因より、北米からの直接投資が最も高い割合を占め、</w:t>
      </w:r>
      <w:r>
        <w:rPr>
          <w:rFonts w:hint="eastAsia"/>
          <w:noProof/>
        </w:rPr>
        <w:t>2012</w:t>
      </w:r>
      <w:r>
        <w:rPr>
          <w:rFonts w:hint="eastAsia"/>
          <w:noProof/>
        </w:rPr>
        <w:t>年度の同地域からの外国投資額は</w:t>
      </w:r>
      <w:r>
        <w:rPr>
          <w:rFonts w:hint="eastAsia"/>
          <w:noProof/>
        </w:rPr>
        <w:t>4</w:t>
      </w:r>
      <w:r>
        <w:rPr>
          <w:rFonts w:hint="eastAsia"/>
          <w:noProof/>
        </w:rPr>
        <w:t>億</w:t>
      </w:r>
      <w:r>
        <w:rPr>
          <w:rFonts w:hint="eastAsia"/>
          <w:noProof/>
        </w:rPr>
        <w:t>9,680</w:t>
      </w:r>
      <w:r>
        <w:rPr>
          <w:rFonts w:hint="eastAsia"/>
          <w:noProof/>
        </w:rPr>
        <w:t>万米ドル、外国投資総額の</w:t>
      </w:r>
      <w:r>
        <w:rPr>
          <w:rFonts w:hint="eastAsia"/>
          <w:noProof/>
        </w:rPr>
        <w:t>46.9</w:t>
      </w:r>
      <w:r>
        <w:rPr>
          <w:rFonts w:hint="eastAsia"/>
          <w:noProof/>
        </w:rPr>
        <w:t>％を占める。</w:t>
      </w:r>
    </w:p>
    <w:p w:rsidR="00636710" w:rsidRDefault="0083258D" w:rsidP="00071A1D">
      <w:pPr>
        <w:ind w:firstLineChars="100" w:firstLine="210"/>
        <w:jc w:val="center"/>
      </w:pPr>
      <w:r w:rsidRPr="0083258D">
        <w:rPr>
          <w:noProof/>
        </w:rPr>
        <w:drawing>
          <wp:inline distT="0" distB="0" distL="0" distR="0">
            <wp:extent cx="4848375" cy="2216075"/>
            <wp:effectExtent l="19050" t="0" r="28425" b="0"/>
            <wp:docPr id="8"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071A1D" w:rsidRPr="00071A1D">
        <w:rPr>
          <w:noProof/>
        </w:rPr>
        <w:drawing>
          <wp:inline distT="0" distB="0" distL="0" distR="0">
            <wp:extent cx="4864922" cy="2743200"/>
            <wp:effectExtent l="19050" t="0" r="11878" b="0"/>
            <wp:docPr id="9"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4A0B" w:rsidRPr="00611AFD" w:rsidRDefault="00EC36E0" w:rsidP="00EC36E0">
      <w:pPr>
        <w:ind w:firstLineChars="3800" w:firstLine="7980"/>
        <w:jc w:val="left"/>
      </w:pPr>
      <w:r>
        <w:rPr>
          <w:rFonts w:hint="eastAsia"/>
        </w:rPr>
        <w:t>（了）</w:t>
      </w:r>
    </w:p>
    <w:sectPr w:rsidR="00FA4A0B" w:rsidRPr="00611AFD" w:rsidSect="001078ED">
      <w:footerReference w:type="default" r:id="rId23"/>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DA7" w:rsidRDefault="00052DA7" w:rsidP="00154167">
      <w:r>
        <w:separator/>
      </w:r>
    </w:p>
  </w:endnote>
  <w:endnote w:type="continuationSeparator" w:id="0">
    <w:p w:rsidR="00052DA7" w:rsidRDefault="00052DA7" w:rsidP="0015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2860"/>
      <w:docPartObj>
        <w:docPartGallery w:val="Page Numbers (Bottom of Page)"/>
        <w:docPartUnique/>
      </w:docPartObj>
    </w:sdtPr>
    <w:sdtEndPr/>
    <w:sdtContent>
      <w:p w:rsidR="009C1923" w:rsidRDefault="00052DA7">
        <w:pPr>
          <w:pStyle w:val="a5"/>
          <w:jc w:val="center"/>
        </w:pPr>
        <w:r>
          <w:fldChar w:fldCharType="begin"/>
        </w:r>
        <w:r>
          <w:instrText xml:space="preserve"> PAGE   \* MERGEFORMAT </w:instrText>
        </w:r>
        <w:r>
          <w:fldChar w:fldCharType="separate"/>
        </w:r>
        <w:r w:rsidR="00E3125E" w:rsidRPr="00E3125E">
          <w:rPr>
            <w:noProof/>
            <w:lang w:val="ja-JP"/>
          </w:rPr>
          <w:t>2</w:t>
        </w:r>
        <w:r>
          <w:rPr>
            <w:noProof/>
            <w:lang w:val="ja-JP"/>
          </w:rPr>
          <w:fldChar w:fldCharType="end"/>
        </w:r>
      </w:p>
    </w:sdtContent>
  </w:sdt>
  <w:p w:rsidR="009C1923" w:rsidRDefault="009C19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DA7" w:rsidRDefault="00052DA7" w:rsidP="00154167">
      <w:r>
        <w:separator/>
      </w:r>
    </w:p>
  </w:footnote>
  <w:footnote w:type="continuationSeparator" w:id="0">
    <w:p w:rsidR="00052DA7" w:rsidRDefault="00052DA7" w:rsidP="00154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F"/>
    <w:rsid w:val="00023282"/>
    <w:rsid w:val="000339D9"/>
    <w:rsid w:val="00052DA7"/>
    <w:rsid w:val="00071A1D"/>
    <w:rsid w:val="00077295"/>
    <w:rsid w:val="00077A1F"/>
    <w:rsid w:val="00085548"/>
    <w:rsid w:val="0009501A"/>
    <w:rsid w:val="0009607E"/>
    <w:rsid w:val="000C7136"/>
    <w:rsid w:val="000D066C"/>
    <w:rsid w:val="000E2BEA"/>
    <w:rsid w:val="001078ED"/>
    <w:rsid w:val="001332BA"/>
    <w:rsid w:val="001360FD"/>
    <w:rsid w:val="0015154F"/>
    <w:rsid w:val="00154167"/>
    <w:rsid w:val="001860CD"/>
    <w:rsid w:val="0019493B"/>
    <w:rsid w:val="001B2FF9"/>
    <w:rsid w:val="001C2363"/>
    <w:rsid w:val="001C2E16"/>
    <w:rsid w:val="001F4228"/>
    <w:rsid w:val="002050F2"/>
    <w:rsid w:val="002103A4"/>
    <w:rsid w:val="002252D4"/>
    <w:rsid w:val="00226541"/>
    <w:rsid w:val="00261348"/>
    <w:rsid w:val="002642D0"/>
    <w:rsid w:val="00273329"/>
    <w:rsid w:val="00274614"/>
    <w:rsid w:val="00284A92"/>
    <w:rsid w:val="002956D8"/>
    <w:rsid w:val="002B5EC1"/>
    <w:rsid w:val="002E1C04"/>
    <w:rsid w:val="002E3E11"/>
    <w:rsid w:val="002E55EA"/>
    <w:rsid w:val="002E6CF2"/>
    <w:rsid w:val="003104D3"/>
    <w:rsid w:val="00322038"/>
    <w:rsid w:val="0032799C"/>
    <w:rsid w:val="00336944"/>
    <w:rsid w:val="003E215F"/>
    <w:rsid w:val="0040023F"/>
    <w:rsid w:val="0040464C"/>
    <w:rsid w:val="004436E4"/>
    <w:rsid w:val="00481FCB"/>
    <w:rsid w:val="00482D26"/>
    <w:rsid w:val="004A0D0F"/>
    <w:rsid w:val="004D0979"/>
    <w:rsid w:val="00504A0C"/>
    <w:rsid w:val="0054464F"/>
    <w:rsid w:val="00574543"/>
    <w:rsid w:val="00587F61"/>
    <w:rsid w:val="005B25B1"/>
    <w:rsid w:val="005C0176"/>
    <w:rsid w:val="005C0DE9"/>
    <w:rsid w:val="00611AFD"/>
    <w:rsid w:val="0063573A"/>
    <w:rsid w:val="00636710"/>
    <w:rsid w:val="0066168C"/>
    <w:rsid w:val="006644EF"/>
    <w:rsid w:val="00683CAB"/>
    <w:rsid w:val="006B4B6E"/>
    <w:rsid w:val="006E47B6"/>
    <w:rsid w:val="006E4A7B"/>
    <w:rsid w:val="007031C8"/>
    <w:rsid w:val="00714CF5"/>
    <w:rsid w:val="00717FBF"/>
    <w:rsid w:val="00740D1F"/>
    <w:rsid w:val="00744574"/>
    <w:rsid w:val="0075483D"/>
    <w:rsid w:val="007548CB"/>
    <w:rsid w:val="0076328C"/>
    <w:rsid w:val="007679B7"/>
    <w:rsid w:val="007C2F89"/>
    <w:rsid w:val="007E5DD3"/>
    <w:rsid w:val="007E5FA2"/>
    <w:rsid w:val="00825A57"/>
    <w:rsid w:val="0083258D"/>
    <w:rsid w:val="00841461"/>
    <w:rsid w:val="008575B8"/>
    <w:rsid w:val="00857A5E"/>
    <w:rsid w:val="0086398A"/>
    <w:rsid w:val="00877594"/>
    <w:rsid w:val="008C0822"/>
    <w:rsid w:val="00917E01"/>
    <w:rsid w:val="00921F69"/>
    <w:rsid w:val="00925729"/>
    <w:rsid w:val="009535CC"/>
    <w:rsid w:val="009859C2"/>
    <w:rsid w:val="009A2037"/>
    <w:rsid w:val="009A675D"/>
    <w:rsid w:val="009C1923"/>
    <w:rsid w:val="009E01BC"/>
    <w:rsid w:val="009E745C"/>
    <w:rsid w:val="00A44CB7"/>
    <w:rsid w:val="00AA160C"/>
    <w:rsid w:val="00AA1BE2"/>
    <w:rsid w:val="00AA349C"/>
    <w:rsid w:val="00AC2151"/>
    <w:rsid w:val="00AD1968"/>
    <w:rsid w:val="00B1462B"/>
    <w:rsid w:val="00B373EB"/>
    <w:rsid w:val="00B64E57"/>
    <w:rsid w:val="00BB5BAA"/>
    <w:rsid w:val="00BB7F14"/>
    <w:rsid w:val="00C70DEF"/>
    <w:rsid w:val="00CD67D1"/>
    <w:rsid w:val="00CD6A1F"/>
    <w:rsid w:val="00D00BB9"/>
    <w:rsid w:val="00D1568D"/>
    <w:rsid w:val="00D22476"/>
    <w:rsid w:val="00D47CB4"/>
    <w:rsid w:val="00D6063D"/>
    <w:rsid w:val="00D77440"/>
    <w:rsid w:val="00D80F65"/>
    <w:rsid w:val="00DA1630"/>
    <w:rsid w:val="00DA3D96"/>
    <w:rsid w:val="00DC1DA3"/>
    <w:rsid w:val="00DC5820"/>
    <w:rsid w:val="00DD33FF"/>
    <w:rsid w:val="00DD59F3"/>
    <w:rsid w:val="00E11349"/>
    <w:rsid w:val="00E20B16"/>
    <w:rsid w:val="00E260B1"/>
    <w:rsid w:val="00E3125E"/>
    <w:rsid w:val="00E31B13"/>
    <w:rsid w:val="00E90B81"/>
    <w:rsid w:val="00E914EF"/>
    <w:rsid w:val="00E9295F"/>
    <w:rsid w:val="00EB4F8C"/>
    <w:rsid w:val="00EB7072"/>
    <w:rsid w:val="00EC36E0"/>
    <w:rsid w:val="00ED50BC"/>
    <w:rsid w:val="00EF7A19"/>
    <w:rsid w:val="00F02135"/>
    <w:rsid w:val="00F70764"/>
    <w:rsid w:val="00F8672C"/>
    <w:rsid w:val="00FA4A0B"/>
    <w:rsid w:val="00FC422B"/>
    <w:rsid w:val="00FD02DC"/>
    <w:rsid w:val="00FE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4167"/>
    <w:pPr>
      <w:tabs>
        <w:tab w:val="center" w:pos="4252"/>
        <w:tab w:val="right" w:pos="8504"/>
      </w:tabs>
      <w:snapToGrid w:val="0"/>
    </w:pPr>
  </w:style>
  <w:style w:type="character" w:customStyle="1" w:styleId="a4">
    <w:name w:val="ヘッダー (文字)"/>
    <w:basedOn w:val="a0"/>
    <w:link w:val="a3"/>
    <w:rsid w:val="00154167"/>
    <w:rPr>
      <w:kern w:val="2"/>
      <w:sz w:val="21"/>
      <w:szCs w:val="24"/>
    </w:rPr>
  </w:style>
  <w:style w:type="paragraph" w:styleId="a5">
    <w:name w:val="footer"/>
    <w:basedOn w:val="a"/>
    <w:link w:val="a6"/>
    <w:uiPriority w:val="99"/>
    <w:rsid w:val="00154167"/>
    <w:pPr>
      <w:tabs>
        <w:tab w:val="center" w:pos="4252"/>
        <w:tab w:val="right" w:pos="8504"/>
      </w:tabs>
      <w:snapToGrid w:val="0"/>
    </w:pPr>
  </w:style>
  <w:style w:type="character" w:customStyle="1" w:styleId="a6">
    <w:name w:val="フッター (文字)"/>
    <w:basedOn w:val="a0"/>
    <w:link w:val="a5"/>
    <w:uiPriority w:val="99"/>
    <w:rsid w:val="00154167"/>
    <w:rPr>
      <w:kern w:val="2"/>
      <w:sz w:val="21"/>
      <w:szCs w:val="24"/>
    </w:rPr>
  </w:style>
  <w:style w:type="paragraph" w:styleId="a7">
    <w:name w:val="Balloon Text"/>
    <w:basedOn w:val="a"/>
    <w:link w:val="a8"/>
    <w:rsid w:val="008575B8"/>
    <w:rPr>
      <w:rFonts w:asciiTheme="majorHAnsi" w:eastAsiaTheme="majorEastAsia" w:hAnsiTheme="majorHAnsi" w:cstheme="majorBidi"/>
      <w:sz w:val="18"/>
      <w:szCs w:val="18"/>
    </w:rPr>
  </w:style>
  <w:style w:type="character" w:customStyle="1" w:styleId="a8">
    <w:name w:val="吹き出し (文字)"/>
    <w:basedOn w:val="a0"/>
    <w:link w:val="a7"/>
    <w:rsid w:val="008575B8"/>
    <w:rPr>
      <w:rFonts w:asciiTheme="majorHAnsi" w:eastAsiaTheme="majorEastAsia" w:hAnsiTheme="majorHAnsi" w:cstheme="majorBidi"/>
      <w:kern w:val="2"/>
      <w:sz w:val="18"/>
      <w:szCs w:val="18"/>
    </w:rPr>
  </w:style>
  <w:style w:type="paragraph" w:styleId="a9">
    <w:name w:val="Date"/>
    <w:basedOn w:val="a"/>
    <w:next w:val="a"/>
    <w:link w:val="aa"/>
    <w:rsid w:val="00DA3D96"/>
  </w:style>
  <w:style w:type="character" w:customStyle="1" w:styleId="aa">
    <w:name w:val="日付 (文字)"/>
    <w:basedOn w:val="a0"/>
    <w:link w:val="a9"/>
    <w:rsid w:val="00DA3D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4167"/>
    <w:pPr>
      <w:tabs>
        <w:tab w:val="center" w:pos="4252"/>
        <w:tab w:val="right" w:pos="8504"/>
      </w:tabs>
      <w:snapToGrid w:val="0"/>
    </w:pPr>
  </w:style>
  <w:style w:type="character" w:customStyle="1" w:styleId="a4">
    <w:name w:val="ヘッダー (文字)"/>
    <w:basedOn w:val="a0"/>
    <w:link w:val="a3"/>
    <w:rsid w:val="00154167"/>
    <w:rPr>
      <w:kern w:val="2"/>
      <w:sz w:val="21"/>
      <w:szCs w:val="24"/>
    </w:rPr>
  </w:style>
  <w:style w:type="paragraph" w:styleId="a5">
    <w:name w:val="footer"/>
    <w:basedOn w:val="a"/>
    <w:link w:val="a6"/>
    <w:uiPriority w:val="99"/>
    <w:rsid w:val="00154167"/>
    <w:pPr>
      <w:tabs>
        <w:tab w:val="center" w:pos="4252"/>
        <w:tab w:val="right" w:pos="8504"/>
      </w:tabs>
      <w:snapToGrid w:val="0"/>
    </w:pPr>
  </w:style>
  <w:style w:type="character" w:customStyle="1" w:styleId="a6">
    <w:name w:val="フッター (文字)"/>
    <w:basedOn w:val="a0"/>
    <w:link w:val="a5"/>
    <w:uiPriority w:val="99"/>
    <w:rsid w:val="00154167"/>
    <w:rPr>
      <w:kern w:val="2"/>
      <w:sz w:val="21"/>
      <w:szCs w:val="24"/>
    </w:rPr>
  </w:style>
  <w:style w:type="paragraph" w:styleId="a7">
    <w:name w:val="Balloon Text"/>
    <w:basedOn w:val="a"/>
    <w:link w:val="a8"/>
    <w:rsid w:val="008575B8"/>
    <w:rPr>
      <w:rFonts w:asciiTheme="majorHAnsi" w:eastAsiaTheme="majorEastAsia" w:hAnsiTheme="majorHAnsi" w:cstheme="majorBidi"/>
      <w:sz w:val="18"/>
      <w:szCs w:val="18"/>
    </w:rPr>
  </w:style>
  <w:style w:type="character" w:customStyle="1" w:styleId="a8">
    <w:name w:val="吹き出し (文字)"/>
    <w:basedOn w:val="a0"/>
    <w:link w:val="a7"/>
    <w:rsid w:val="008575B8"/>
    <w:rPr>
      <w:rFonts w:asciiTheme="majorHAnsi" w:eastAsiaTheme="majorEastAsia" w:hAnsiTheme="majorHAnsi" w:cstheme="majorBidi"/>
      <w:kern w:val="2"/>
      <w:sz w:val="18"/>
      <w:szCs w:val="18"/>
    </w:rPr>
  </w:style>
  <w:style w:type="paragraph" w:styleId="a9">
    <w:name w:val="Date"/>
    <w:basedOn w:val="a"/>
    <w:next w:val="a"/>
    <w:link w:val="aa"/>
    <w:rsid w:val="00DA3D96"/>
  </w:style>
  <w:style w:type="character" w:customStyle="1" w:styleId="aa">
    <w:name w:val="日付 (文字)"/>
    <w:basedOn w:val="a0"/>
    <w:link w:val="a9"/>
    <w:rsid w:val="00DA3D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CTENAS01\users\C02036\&#32076;&#28168;&#25351;&#27161;\&#26376;&#22577;\12&#26376;\Monthly%20Report%20Mar%202013%20Graphs.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SCTENAS01\users\C02036\&#32076;&#28168;&#25351;&#27161;\&#12510;&#12531;&#12473;&#12522;&#12540;&#12524;&#12509;&#12540;&#12488;&#65288;By%20&#12450;&#12523;&#12505;&#12523;&#12488;&#65289;\2013\Monthly%20Report%20Dec%202012%20Graphs.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SCTENAS01\users\C02036\&#32076;&#28168;&#25351;&#27161;\&#12510;&#12531;&#12473;&#12522;&#12540;&#12524;&#12509;&#12540;&#12488;&#65288;By%20&#12450;&#12523;&#12505;&#12523;&#12488;&#65289;\2013\Monthly%20Report%20Mar%202013%20Graphs.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SCTENAS01\users\C02036\&#32076;&#28168;&#25351;&#27161;\&#26376;&#22577;\12&#26376;\Monthly%20Report%20Mar%202013%20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CTENAS01\users\C02036\&#32076;&#28168;&#25351;&#27161;\&#26376;&#22577;\12&#26376;\Monthly%20Report%20Mar%202013%20Graphs.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SCTENAS01\users\C02036\&#32076;&#28168;&#25351;&#27161;\&#26376;&#22577;\12&#26376;\Monthly%20Report%20Mar%202013%20Graphs.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SCTENAS01\users\C02036\&#32076;&#28168;&#25351;&#27161;\&#26376;&#22577;\12&#26376;\Monthly%20Report%20Dec%202012%20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CTENAS01\users\C02036\&#32076;&#28168;&#25351;&#27161;\&#12510;&#12531;&#12473;&#12522;&#12540;&#12524;&#12509;&#12540;&#12488;&#65288;By%20&#12450;&#12523;&#12505;&#12523;&#12488;&#65289;\2013\Monthly%20Report%20Mar%202013%20Graph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CTENAS01\users\C02036\&#32076;&#28168;&#25351;&#27161;\&#12510;&#12531;&#12473;&#12522;&#12540;&#12524;&#12509;&#12540;&#12488;&#65288;By%20&#12450;&#12523;&#12505;&#12523;&#12488;&#65289;\2013\Monthly%20Report%20Mar%202013%20Graph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CTENAS01\users\C02036\&#32076;&#28168;&#25351;&#27161;\&#12510;&#12531;&#12473;&#12522;&#12540;&#12524;&#12509;&#12540;&#12488;&#65288;By%20&#12450;&#12523;&#12505;&#12523;&#12488;&#65289;\2013\Monthly%20Report%20Mar%202013%20Graph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SCTENAS01\users\C02036\&#32076;&#28168;&#25351;&#27161;\&#12510;&#12531;&#12473;&#12522;&#12540;&#12524;&#12509;&#12540;&#12488;&#65288;By%20&#12450;&#12523;&#12505;&#12523;&#12488;&#65289;\2013\Monthly%20Report%20Mar%202013%20Graph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SCTENAS01\users\C02036\&#32076;&#28168;&#25351;&#27161;\&#26376;&#22577;\12&#26376;\Monthly%20Report%20Mar%202013%20Graph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SCTENAS01\users\C02036\&#32076;&#28168;&#25351;&#27161;\&#12510;&#12531;&#12473;&#12522;&#12540;&#12524;&#12509;&#12540;&#12488;&#65288;By%20&#12450;&#12523;&#12505;&#12523;&#12488;&#65289;\2013\Monthly%20Report%20Dec%202012%20Graph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SCTENAS01\users\C02036\&#32076;&#28168;&#25351;&#27161;\&#26376;&#22577;\12&#26376;\Monthly%20Report%20Dec%202012%20Graphs.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SCTENAS01\users\C02036\&#32076;&#28168;&#25351;&#27161;\&#12510;&#12531;&#12473;&#12522;&#12540;&#12524;&#12509;&#12540;&#12488;&#65288;By%20&#12450;&#12523;&#12505;&#12523;&#12488;&#65289;\2013\Monthly%20Report%20Dec%202012%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b="0"/>
              <a:t>年間インフレ率</a:t>
            </a:r>
          </a:p>
        </c:rich>
      </c:tx>
      <c:overlay val="0"/>
    </c:title>
    <c:autoTitleDeleted val="0"/>
    <c:plotArea>
      <c:layout/>
      <c:lineChart>
        <c:grouping val="standard"/>
        <c:varyColors val="0"/>
        <c:ser>
          <c:idx val="0"/>
          <c:order val="0"/>
          <c:tx>
            <c:strRef>
              <c:f>Hoja1!$N$12:$N$13</c:f>
              <c:strCache>
                <c:ptCount val="1"/>
                <c:pt idx="0">
                  <c:v>年間インフレ率</c:v>
                </c:pt>
              </c:strCache>
            </c:strRef>
          </c:tx>
          <c:dLbls>
            <c:dLblPos val="b"/>
            <c:showLegendKey val="0"/>
            <c:showVal val="1"/>
            <c:showCatName val="0"/>
            <c:showSerName val="0"/>
            <c:showPercent val="0"/>
            <c:showBubbleSize val="0"/>
            <c:showLeaderLines val="0"/>
          </c:dLbls>
          <c:cat>
            <c:numRef>
              <c:f>Hoja1!$M$14:$M$17</c:f>
              <c:numCache>
                <c:formatCode>[$-409]mmm\-yy;@</c:formatCode>
                <c:ptCount val="4"/>
                <c:pt idx="0">
                  <c:v>40156</c:v>
                </c:pt>
                <c:pt idx="1">
                  <c:v>40522</c:v>
                </c:pt>
                <c:pt idx="2">
                  <c:v>40888</c:v>
                </c:pt>
                <c:pt idx="3">
                  <c:v>41255</c:v>
                </c:pt>
              </c:numCache>
            </c:numRef>
          </c:cat>
          <c:val>
            <c:numRef>
              <c:f>Hoja1!$N$14:$N$17</c:f>
              <c:numCache>
                <c:formatCode>0.0_ </c:formatCode>
                <c:ptCount val="4"/>
                <c:pt idx="0">
                  <c:v>3</c:v>
                </c:pt>
                <c:pt idx="1">
                  <c:v>6.5</c:v>
                </c:pt>
                <c:pt idx="2">
                  <c:v>5.6</c:v>
                </c:pt>
                <c:pt idx="3">
                  <c:v>5.4</c:v>
                </c:pt>
              </c:numCache>
            </c:numRef>
          </c:val>
          <c:smooth val="0"/>
        </c:ser>
        <c:dLbls>
          <c:showLegendKey val="0"/>
          <c:showVal val="1"/>
          <c:showCatName val="0"/>
          <c:showSerName val="0"/>
          <c:showPercent val="0"/>
          <c:showBubbleSize val="0"/>
        </c:dLbls>
        <c:marker val="1"/>
        <c:smooth val="0"/>
        <c:axId val="146956672"/>
        <c:axId val="146959744"/>
      </c:lineChart>
      <c:dateAx>
        <c:axId val="146956672"/>
        <c:scaling>
          <c:orientation val="minMax"/>
        </c:scaling>
        <c:delete val="1"/>
        <c:axPos val="b"/>
        <c:title>
          <c:tx>
            <c:rich>
              <a:bodyPr/>
              <a:lstStyle/>
              <a:p>
                <a:pPr>
                  <a:defRPr b="0"/>
                </a:pPr>
                <a:r>
                  <a:rPr lang="en-US" altLang="ja-JP" b="0"/>
                  <a:t>Dec-09</a:t>
                </a:r>
                <a:endParaRPr lang="ja-JP" altLang="en-US" b="0"/>
              </a:p>
            </c:rich>
          </c:tx>
          <c:layout>
            <c:manualLayout>
              <c:xMode val="edge"/>
              <c:yMode val="edge"/>
              <c:x val="0.15156364829396329"/>
              <c:y val="0.90849518810148733"/>
            </c:manualLayout>
          </c:layout>
          <c:overlay val="0"/>
        </c:title>
        <c:numFmt formatCode="[$-409]mmm\-yy;@" sourceLinked="1"/>
        <c:majorTickMark val="out"/>
        <c:minorTickMark val="none"/>
        <c:tickLblPos val="none"/>
        <c:crossAx val="146959744"/>
        <c:crosses val="autoZero"/>
        <c:auto val="1"/>
        <c:lblOffset val="100"/>
        <c:baseTimeUnit val="years"/>
      </c:dateAx>
      <c:valAx>
        <c:axId val="146959744"/>
        <c:scaling>
          <c:orientation val="minMax"/>
        </c:scaling>
        <c:delete val="0"/>
        <c:axPos val="l"/>
        <c:majorGridlines/>
        <c:numFmt formatCode="0.0_ " sourceLinked="1"/>
        <c:majorTickMark val="out"/>
        <c:minorTickMark val="none"/>
        <c:tickLblPos val="nextTo"/>
        <c:crossAx val="146956672"/>
        <c:crosses val="autoZero"/>
        <c:crossBetween val="between"/>
      </c:valAx>
    </c:plotArea>
    <c:plotVisOnly val="1"/>
    <c:dispBlanksAs val="gap"/>
    <c:showDLblsOverMax val="0"/>
  </c:chart>
  <c:txPr>
    <a:bodyPr/>
    <a:lstStyle/>
    <a:p>
      <a:pPr>
        <a:defRPr sz="800"/>
      </a:pPr>
      <a:endParaRPr lang="ja-JP"/>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ja-JP" altLang="en-US" sz="1200" b="0"/>
              <a:t>流動性資金推移</a:t>
            </a:r>
            <a:endParaRPr lang="es-HN" sz="1200" b="0"/>
          </a:p>
        </c:rich>
      </c:tx>
      <c:overlay val="0"/>
    </c:title>
    <c:autoTitleDeleted val="0"/>
    <c:plotArea>
      <c:layout>
        <c:manualLayout>
          <c:layoutTarget val="inner"/>
          <c:xMode val="edge"/>
          <c:yMode val="edge"/>
          <c:x val="5.4816798764708435E-2"/>
          <c:y val="0.13817777777777768"/>
          <c:w val="0.89716040059410063"/>
          <c:h val="0.6869700787401577"/>
        </c:manualLayout>
      </c:layout>
      <c:lineChart>
        <c:grouping val="standard"/>
        <c:varyColors val="0"/>
        <c:ser>
          <c:idx val="0"/>
          <c:order val="0"/>
          <c:tx>
            <c:strRef>
              <c:f>Hoja1!$B$377</c:f>
              <c:strCache>
                <c:ptCount val="1"/>
                <c:pt idx="0">
                  <c:v>　</c:v>
                </c:pt>
              </c:strCache>
            </c:strRef>
          </c:tx>
          <c:dLbls>
            <c:dLbl>
              <c:idx val="0"/>
              <c:layout>
                <c:manualLayout>
                  <c:x val="-1.7837238360104698E-2"/>
                  <c:y val="3.7037037037037056E-2"/>
                </c:manualLayout>
              </c:layout>
              <c:showLegendKey val="0"/>
              <c:showVal val="1"/>
              <c:showCatName val="0"/>
              <c:showSerName val="0"/>
              <c:showPercent val="0"/>
              <c:showBubbleSize val="0"/>
            </c:dLbl>
            <c:dLbl>
              <c:idx val="1"/>
              <c:layout>
                <c:manualLayout>
                  <c:x val="-1.7837238360104698E-2"/>
                  <c:y val="4.6296296296296523E-2"/>
                </c:manualLayout>
              </c:layout>
              <c:showLegendKey val="0"/>
              <c:showVal val="1"/>
              <c:showCatName val="0"/>
              <c:showSerName val="0"/>
              <c:showPercent val="0"/>
              <c:showBubbleSize val="0"/>
            </c:dLbl>
            <c:dLbl>
              <c:idx val="2"/>
              <c:layout>
                <c:manualLayout>
                  <c:x val="-1.7837238360104698E-2"/>
                  <c:y val="5.0925925925925923E-2"/>
                </c:manualLayout>
              </c:layout>
              <c:showLegendKey val="0"/>
              <c:showVal val="1"/>
              <c:showCatName val="0"/>
              <c:showSerName val="0"/>
              <c:showPercent val="0"/>
              <c:showBubbleSize val="0"/>
            </c:dLbl>
            <c:dLbl>
              <c:idx val="3"/>
              <c:layout>
                <c:manualLayout>
                  <c:x val="-2.0066893155117827E-2"/>
                  <c:y val="4.6296296296296523E-2"/>
                </c:manualLayout>
              </c:layout>
              <c:showLegendKey val="0"/>
              <c:showVal val="1"/>
              <c:showCatName val="0"/>
              <c:showSerName val="0"/>
              <c:showPercent val="0"/>
              <c:showBubbleSize val="0"/>
            </c:dLbl>
            <c:dLbl>
              <c:idx val="4"/>
              <c:layout>
                <c:manualLayout>
                  <c:x val="-2.4526202745143971E-2"/>
                  <c:y val="3.7037037037037056E-2"/>
                </c:manualLayout>
              </c:layout>
              <c:showLegendKey val="0"/>
              <c:showVal val="1"/>
              <c:showCatName val="0"/>
              <c:showSerName val="0"/>
              <c:showPercent val="0"/>
              <c:showBubbleSize val="0"/>
            </c:dLbl>
            <c:dLbl>
              <c:idx val="5"/>
              <c:layout>
                <c:manualLayout>
                  <c:x val="-3.7904131515222615E-2"/>
                  <c:y val="5.0925925925925992E-2"/>
                </c:manualLayout>
              </c:layout>
              <c:showLegendKey val="0"/>
              <c:showVal val="1"/>
              <c:showCatName val="0"/>
              <c:showSerName val="0"/>
              <c:showPercent val="0"/>
              <c:showBubbleSize val="0"/>
            </c:dLbl>
            <c:dLbl>
              <c:idx val="6"/>
              <c:layout>
                <c:manualLayout>
                  <c:x val="-3.7904131515222615E-2"/>
                  <c:y val="5.5555555555555455E-2"/>
                </c:manualLayout>
              </c:layout>
              <c:showLegendKey val="0"/>
              <c:showVal val="1"/>
              <c:showCatName val="0"/>
              <c:showSerName val="0"/>
              <c:showPercent val="0"/>
              <c:showBubbleSize val="0"/>
            </c:dLbl>
            <c:dLbl>
              <c:idx val="7"/>
              <c:layout>
                <c:manualLayout>
                  <c:x val="-3.1215167130183456E-2"/>
                  <c:y val="4.1666666666666623E-2"/>
                </c:manualLayout>
              </c:layout>
              <c:showLegendKey val="0"/>
              <c:showVal val="1"/>
              <c:showCatName val="0"/>
              <c:showSerName val="0"/>
              <c:showPercent val="0"/>
              <c:showBubbleSize val="0"/>
            </c:dLbl>
            <c:dLbl>
              <c:idx val="8"/>
              <c:layout>
                <c:manualLayout>
                  <c:x val="-4.0133786310235592E-2"/>
                  <c:y val="2.7777777777778585E-2"/>
                </c:manualLayout>
              </c:layout>
              <c:showLegendKey val="0"/>
              <c:showVal val="1"/>
              <c:showCatName val="0"/>
              <c:showSerName val="0"/>
              <c:showPercent val="0"/>
              <c:showBubbleSize val="0"/>
            </c:dLbl>
            <c:dLbl>
              <c:idx val="9"/>
              <c:layout>
                <c:manualLayout>
                  <c:x val="-3.5674476720209652E-2"/>
                  <c:y val="3.2407407407408065E-2"/>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Hoja1!$A$389:$A$401</c:f>
              <c:strCache>
                <c:ptCount val="13"/>
                <c:pt idx="0">
                  <c:v>dec-11</c:v>
                </c:pt>
                <c:pt idx="1">
                  <c:v>jan-12</c:v>
                </c:pt>
                <c:pt idx="2">
                  <c:v>Feb-12</c:v>
                </c:pt>
                <c:pt idx="3">
                  <c:v>Mar-12</c:v>
                </c:pt>
                <c:pt idx="4">
                  <c:v>apr-12</c:v>
                </c:pt>
                <c:pt idx="5">
                  <c:v>May-12</c:v>
                </c:pt>
                <c:pt idx="6">
                  <c:v>Jun-12</c:v>
                </c:pt>
                <c:pt idx="7">
                  <c:v>Jul-12</c:v>
                </c:pt>
                <c:pt idx="8">
                  <c:v>aug-12</c:v>
                </c:pt>
                <c:pt idx="9">
                  <c:v>Sep-12</c:v>
                </c:pt>
                <c:pt idx="10">
                  <c:v>Oct-12</c:v>
                </c:pt>
                <c:pt idx="11">
                  <c:v>Nov-12</c:v>
                </c:pt>
                <c:pt idx="12">
                  <c:v>dec-12</c:v>
                </c:pt>
              </c:strCache>
            </c:strRef>
          </c:cat>
          <c:val>
            <c:numRef>
              <c:f>Hoja1!$B$389:$B$401</c:f>
              <c:numCache>
                <c:formatCode>General</c:formatCode>
                <c:ptCount val="13"/>
                <c:pt idx="0">
                  <c:v>2.48</c:v>
                </c:pt>
                <c:pt idx="1">
                  <c:v>2.52</c:v>
                </c:pt>
                <c:pt idx="2">
                  <c:v>2.63</c:v>
                </c:pt>
                <c:pt idx="3" formatCode="0.00">
                  <c:v>2.7</c:v>
                </c:pt>
                <c:pt idx="4">
                  <c:v>2.74</c:v>
                </c:pt>
                <c:pt idx="5" formatCode="0.00">
                  <c:v>2.6</c:v>
                </c:pt>
                <c:pt idx="6" formatCode="0.00">
                  <c:v>2.65</c:v>
                </c:pt>
                <c:pt idx="7" formatCode="0.00">
                  <c:v>2.59</c:v>
                </c:pt>
                <c:pt idx="8" formatCode="0.00">
                  <c:v>2.42</c:v>
                </c:pt>
                <c:pt idx="9" formatCode="0.00">
                  <c:v>2.3299999999999987</c:v>
                </c:pt>
                <c:pt idx="10" formatCode="0.00">
                  <c:v>2.27</c:v>
                </c:pt>
                <c:pt idx="11" formatCode="0.00">
                  <c:v>2.19</c:v>
                </c:pt>
                <c:pt idx="12" formatCode="0.00">
                  <c:v>2.2799999999999998</c:v>
                </c:pt>
              </c:numCache>
            </c:numRef>
          </c:val>
          <c:smooth val="0"/>
        </c:ser>
        <c:ser>
          <c:idx val="1"/>
          <c:order val="1"/>
          <c:tx>
            <c:strRef>
              <c:f>Hoja1!$C$377</c:f>
              <c:strCache>
                <c:ptCount val="1"/>
              </c:strCache>
            </c:strRef>
          </c:tx>
          <c:dLbls>
            <c:dLbl>
              <c:idx val="0"/>
              <c:layout>
                <c:manualLayout>
                  <c:x val="-2.8985512335170192E-2"/>
                  <c:y val="2.7777777777778619E-2"/>
                </c:manualLayout>
              </c:layout>
              <c:showLegendKey val="0"/>
              <c:showVal val="1"/>
              <c:showCatName val="0"/>
              <c:showSerName val="0"/>
              <c:showPercent val="0"/>
              <c:showBubbleSize val="0"/>
            </c:dLbl>
            <c:dLbl>
              <c:idx val="1"/>
              <c:layout>
                <c:manualLayout>
                  <c:x val="-3.3444821925196308E-2"/>
                  <c:y val="4.1666666666666664E-2"/>
                </c:manualLayout>
              </c:layout>
              <c:showLegendKey val="0"/>
              <c:showVal val="1"/>
              <c:showCatName val="0"/>
              <c:showSerName val="0"/>
              <c:showPercent val="0"/>
              <c:showBubbleSize val="0"/>
            </c:dLbl>
            <c:dLbl>
              <c:idx val="2"/>
              <c:layout>
                <c:manualLayout>
                  <c:x val="-3.7904131515222615E-2"/>
                  <c:y val="4.1666666666666567E-2"/>
                </c:manualLayout>
              </c:layout>
              <c:showLegendKey val="0"/>
              <c:showVal val="1"/>
              <c:showCatName val="0"/>
              <c:showSerName val="0"/>
              <c:showPercent val="0"/>
              <c:showBubbleSize val="0"/>
            </c:dLbl>
            <c:dLbl>
              <c:idx val="3"/>
              <c:layout>
                <c:manualLayout>
                  <c:x val="-4.0133786310235814E-2"/>
                  <c:y val="2.7777777777778619E-2"/>
                </c:manualLayout>
              </c:layout>
              <c:showLegendKey val="0"/>
              <c:showVal val="1"/>
              <c:showCatName val="0"/>
              <c:showSerName val="0"/>
              <c:showPercent val="0"/>
              <c:showBubbleSize val="0"/>
            </c:dLbl>
            <c:dLbl>
              <c:idx val="4"/>
              <c:layout>
                <c:manualLayout>
                  <c:x val="-4.0133786310235592E-2"/>
                  <c:y val="3.7037037037037056E-2"/>
                </c:manualLayout>
              </c:layout>
              <c:showLegendKey val="0"/>
              <c:showVal val="1"/>
              <c:showCatName val="0"/>
              <c:showSerName val="0"/>
              <c:showPercent val="0"/>
              <c:showBubbleSize val="0"/>
            </c:dLbl>
            <c:dLbl>
              <c:idx val="5"/>
              <c:layout>
                <c:manualLayout>
                  <c:x val="-4.4593095900262114E-2"/>
                  <c:y val="3.2407407407408065E-2"/>
                </c:manualLayout>
              </c:layout>
              <c:showLegendKey val="0"/>
              <c:showVal val="1"/>
              <c:showCatName val="0"/>
              <c:showSerName val="0"/>
              <c:showPercent val="0"/>
              <c:showBubbleSize val="0"/>
            </c:dLbl>
            <c:dLbl>
              <c:idx val="6"/>
              <c:layout>
                <c:manualLayout>
                  <c:x val="-4.0133786310235592E-2"/>
                  <c:y val="5.0925925925925923E-2"/>
                </c:manualLayout>
              </c:layout>
              <c:showLegendKey val="0"/>
              <c:showVal val="1"/>
              <c:showCatName val="0"/>
              <c:showSerName val="0"/>
              <c:showPercent val="0"/>
              <c:showBubbleSize val="0"/>
            </c:dLbl>
            <c:dLbl>
              <c:idx val="7"/>
              <c:layout>
                <c:manualLayout>
                  <c:x val="-3.7904131515222615E-2"/>
                  <c:y val="3.7037037037037056E-2"/>
                </c:manualLayout>
              </c:layout>
              <c:showLegendKey val="0"/>
              <c:showVal val="1"/>
              <c:showCatName val="0"/>
              <c:showSerName val="0"/>
              <c:showPercent val="0"/>
              <c:showBubbleSize val="0"/>
            </c:dLbl>
            <c:dLbl>
              <c:idx val="8"/>
              <c:layout>
                <c:manualLayout>
                  <c:x val="-4.6822750695274785E-2"/>
                  <c:y val="3.2407407407407988E-2"/>
                </c:manualLayout>
              </c:layout>
              <c:showLegendKey val="0"/>
              <c:showVal val="1"/>
              <c:showCatName val="0"/>
              <c:showSerName val="0"/>
              <c:showPercent val="0"/>
              <c:showBubbleSize val="0"/>
            </c:dLbl>
            <c:dLbl>
              <c:idx val="9"/>
              <c:layout>
                <c:manualLayout>
                  <c:x val="-4.6822750695274785E-2"/>
                  <c:y val="3.2407407407407988E-2"/>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Hoja1!$A$389:$A$401</c:f>
              <c:strCache>
                <c:ptCount val="13"/>
                <c:pt idx="0">
                  <c:v>dec-11</c:v>
                </c:pt>
                <c:pt idx="1">
                  <c:v>jan-12</c:v>
                </c:pt>
                <c:pt idx="2">
                  <c:v>Feb-12</c:v>
                </c:pt>
                <c:pt idx="3">
                  <c:v>Mar-12</c:v>
                </c:pt>
                <c:pt idx="4">
                  <c:v>apr-12</c:v>
                </c:pt>
                <c:pt idx="5">
                  <c:v>May-12</c:v>
                </c:pt>
                <c:pt idx="6">
                  <c:v>Jun-12</c:v>
                </c:pt>
                <c:pt idx="7">
                  <c:v>Jul-12</c:v>
                </c:pt>
                <c:pt idx="8">
                  <c:v>aug-12</c:v>
                </c:pt>
                <c:pt idx="9">
                  <c:v>Sep-12</c:v>
                </c:pt>
                <c:pt idx="10">
                  <c:v>Oct-12</c:v>
                </c:pt>
                <c:pt idx="11">
                  <c:v>Nov-12</c:v>
                </c:pt>
                <c:pt idx="12">
                  <c:v>dec-12</c:v>
                </c:pt>
              </c:strCache>
            </c:strRef>
          </c:cat>
          <c:val>
            <c:numRef>
              <c:f>Hoja1!$C$389:$C$401</c:f>
              <c:numCache>
                <c:formatCode>0.00</c:formatCode>
                <c:ptCount val="13"/>
                <c:pt idx="0">
                  <c:v>1.25</c:v>
                </c:pt>
                <c:pt idx="1">
                  <c:v>1.24</c:v>
                </c:pt>
                <c:pt idx="2">
                  <c:v>1.1800000000000015</c:v>
                </c:pt>
                <c:pt idx="3">
                  <c:v>1.1900000000000015</c:v>
                </c:pt>
                <c:pt idx="4" formatCode="General">
                  <c:v>1.1700000000000015</c:v>
                </c:pt>
                <c:pt idx="5" formatCode="General">
                  <c:v>1.21</c:v>
                </c:pt>
                <c:pt idx="6" formatCode="General">
                  <c:v>1.27</c:v>
                </c:pt>
                <c:pt idx="7" formatCode="General">
                  <c:v>1.37</c:v>
                </c:pt>
                <c:pt idx="8">
                  <c:v>1.4</c:v>
                </c:pt>
                <c:pt idx="9" formatCode="General">
                  <c:v>1.37</c:v>
                </c:pt>
                <c:pt idx="10">
                  <c:v>1.4</c:v>
                </c:pt>
                <c:pt idx="11">
                  <c:v>1.36</c:v>
                </c:pt>
                <c:pt idx="12">
                  <c:v>1.26</c:v>
                </c:pt>
              </c:numCache>
            </c:numRef>
          </c:val>
          <c:smooth val="0"/>
        </c:ser>
        <c:dLbls>
          <c:showLegendKey val="0"/>
          <c:showVal val="0"/>
          <c:showCatName val="0"/>
          <c:showSerName val="0"/>
          <c:showPercent val="0"/>
          <c:showBubbleSize val="0"/>
        </c:dLbls>
        <c:marker val="1"/>
        <c:smooth val="0"/>
        <c:axId val="215779968"/>
        <c:axId val="215802240"/>
      </c:lineChart>
      <c:catAx>
        <c:axId val="215779968"/>
        <c:scaling>
          <c:orientation val="minMax"/>
        </c:scaling>
        <c:delete val="0"/>
        <c:axPos val="b"/>
        <c:majorTickMark val="none"/>
        <c:minorTickMark val="none"/>
        <c:tickLblPos val="nextTo"/>
        <c:txPr>
          <a:bodyPr/>
          <a:lstStyle/>
          <a:p>
            <a:pPr>
              <a:defRPr sz="800"/>
            </a:pPr>
            <a:endParaRPr lang="ja-JP"/>
          </a:p>
        </c:txPr>
        <c:crossAx val="215802240"/>
        <c:crosses val="autoZero"/>
        <c:auto val="1"/>
        <c:lblAlgn val="ctr"/>
        <c:lblOffset val="100"/>
        <c:noMultiLvlLbl val="0"/>
      </c:catAx>
      <c:valAx>
        <c:axId val="215802240"/>
        <c:scaling>
          <c:orientation val="minMax"/>
          <c:min val="1"/>
        </c:scaling>
        <c:delete val="0"/>
        <c:axPos val="l"/>
        <c:majorGridlines/>
        <c:numFmt formatCode="#,##0.0" sourceLinked="0"/>
        <c:majorTickMark val="none"/>
        <c:minorTickMark val="none"/>
        <c:tickLblPos val="nextTo"/>
        <c:txPr>
          <a:bodyPr/>
          <a:lstStyle/>
          <a:p>
            <a:pPr>
              <a:defRPr sz="800"/>
            </a:pPr>
            <a:endParaRPr lang="ja-JP"/>
          </a:p>
        </c:txPr>
        <c:crossAx val="215779968"/>
        <c:crosses val="autoZero"/>
        <c:crossBetween val="between"/>
      </c:valAx>
    </c:plotArea>
    <c:legend>
      <c:legendPos val="r"/>
      <c:layout>
        <c:manualLayout>
          <c:xMode val="edge"/>
          <c:yMode val="edge"/>
          <c:x val="0.17932748804585141"/>
          <c:y val="0.92834505686789615"/>
          <c:w val="0.72722520173635752"/>
          <c:h val="6.8153980752405974E-2"/>
        </c:manualLayout>
      </c:layout>
      <c:overlay val="0"/>
      <c:txPr>
        <a:bodyPr/>
        <a:lstStyle/>
        <a:p>
          <a:pPr>
            <a:defRPr sz="800"/>
          </a:pPr>
          <a:endParaRPr lang="ja-JP"/>
        </a:p>
      </c:txPr>
    </c:legend>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200" b="0"/>
              <a:t>公的債務対ＧＤＰ比</a:t>
            </a:r>
          </a:p>
        </c:rich>
      </c:tx>
      <c:overlay val="0"/>
    </c:title>
    <c:autoTitleDeleted val="0"/>
    <c:plotArea>
      <c:layout/>
      <c:barChart>
        <c:barDir val="col"/>
        <c:grouping val="stacked"/>
        <c:varyColors val="0"/>
        <c:ser>
          <c:idx val="0"/>
          <c:order val="0"/>
          <c:tx>
            <c:strRef>
              <c:f>Hoja1!$R$219</c:f>
              <c:strCache>
                <c:ptCount val="1"/>
                <c:pt idx="0">
                  <c:v>公的対外債務</c:v>
                </c:pt>
              </c:strCache>
            </c:strRef>
          </c:tx>
          <c:invertIfNegative val="0"/>
          <c:cat>
            <c:numRef>
              <c:f>Hoja1!$Q$220:$Q$224</c:f>
              <c:numCache>
                <c:formatCode>General</c:formatCode>
                <c:ptCount val="5"/>
                <c:pt idx="0">
                  <c:v>2008</c:v>
                </c:pt>
                <c:pt idx="1">
                  <c:v>2009</c:v>
                </c:pt>
                <c:pt idx="2">
                  <c:v>2010</c:v>
                </c:pt>
                <c:pt idx="3">
                  <c:v>2011</c:v>
                </c:pt>
                <c:pt idx="4">
                  <c:v>2012</c:v>
                </c:pt>
              </c:numCache>
            </c:numRef>
          </c:cat>
          <c:val>
            <c:numRef>
              <c:f>Hoja1!$R$220:$R$224</c:f>
              <c:numCache>
                <c:formatCode>#,##0.0_ </c:formatCode>
                <c:ptCount val="5"/>
                <c:pt idx="0">
                  <c:v>16.5</c:v>
                </c:pt>
                <c:pt idx="1">
                  <c:v>17</c:v>
                </c:pt>
                <c:pt idx="2">
                  <c:v>18.3</c:v>
                </c:pt>
                <c:pt idx="3">
                  <c:v>18.5</c:v>
                </c:pt>
                <c:pt idx="4">
                  <c:v>19.899999999999999</c:v>
                </c:pt>
              </c:numCache>
            </c:numRef>
          </c:val>
        </c:ser>
        <c:ser>
          <c:idx val="1"/>
          <c:order val="1"/>
          <c:tx>
            <c:strRef>
              <c:f>Hoja1!$S$219</c:f>
              <c:strCache>
                <c:ptCount val="1"/>
                <c:pt idx="0">
                  <c:v>公的対内債務</c:v>
                </c:pt>
              </c:strCache>
            </c:strRef>
          </c:tx>
          <c:invertIfNegative val="0"/>
          <c:cat>
            <c:numRef>
              <c:f>Hoja1!$Q$220:$Q$224</c:f>
              <c:numCache>
                <c:formatCode>General</c:formatCode>
                <c:ptCount val="5"/>
                <c:pt idx="0">
                  <c:v>2008</c:v>
                </c:pt>
                <c:pt idx="1">
                  <c:v>2009</c:v>
                </c:pt>
                <c:pt idx="2">
                  <c:v>2010</c:v>
                </c:pt>
                <c:pt idx="3">
                  <c:v>2011</c:v>
                </c:pt>
                <c:pt idx="4">
                  <c:v>2012</c:v>
                </c:pt>
              </c:numCache>
            </c:numRef>
          </c:cat>
          <c:val>
            <c:numRef>
              <c:f>Hoja1!$S$220:$S$224</c:f>
              <c:numCache>
                <c:formatCode>#,##0.0_ </c:formatCode>
                <c:ptCount val="5"/>
                <c:pt idx="0">
                  <c:v>4</c:v>
                </c:pt>
                <c:pt idx="1">
                  <c:v>8</c:v>
                </c:pt>
                <c:pt idx="2">
                  <c:v>13</c:v>
                </c:pt>
                <c:pt idx="3">
                  <c:v>14</c:v>
                </c:pt>
                <c:pt idx="4">
                  <c:v>14.9</c:v>
                </c:pt>
              </c:numCache>
            </c:numRef>
          </c:val>
        </c:ser>
        <c:dLbls>
          <c:showLegendKey val="0"/>
          <c:showVal val="1"/>
          <c:showCatName val="0"/>
          <c:showSerName val="0"/>
          <c:showPercent val="0"/>
          <c:showBubbleSize val="0"/>
        </c:dLbls>
        <c:gapWidth val="55"/>
        <c:overlap val="100"/>
        <c:axId val="216616320"/>
        <c:axId val="216618112"/>
      </c:barChart>
      <c:catAx>
        <c:axId val="216616320"/>
        <c:scaling>
          <c:orientation val="minMax"/>
        </c:scaling>
        <c:delete val="0"/>
        <c:axPos val="b"/>
        <c:numFmt formatCode="General" sourceLinked="1"/>
        <c:majorTickMark val="none"/>
        <c:minorTickMark val="none"/>
        <c:tickLblPos val="nextTo"/>
        <c:crossAx val="216618112"/>
        <c:crosses val="autoZero"/>
        <c:auto val="1"/>
        <c:lblAlgn val="ctr"/>
        <c:lblOffset val="100"/>
        <c:noMultiLvlLbl val="0"/>
      </c:catAx>
      <c:valAx>
        <c:axId val="216618112"/>
        <c:scaling>
          <c:orientation val="minMax"/>
        </c:scaling>
        <c:delete val="0"/>
        <c:axPos val="l"/>
        <c:majorGridlines/>
        <c:numFmt formatCode="#,##0.0_ " sourceLinked="1"/>
        <c:majorTickMark val="none"/>
        <c:minorTickMark val="none"/>
        <c:tickLblPos val="nextTo"/>
        <c:crossAx val="21661632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b="0"/>
              <a:t>償還期間別国債の比率</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Hoja1!$Q$38:$Q$39</c:f>
              <c:strCache>
                <c:ptCount val="1"/>
                <c:pt idx="0">
                  <c:v>償還期間別国債の比率</c:v>
                </c:pt>
              </c:strCache>
            </c:strRef>
          </c:tx>
          <c:invertIfNegative val="0"/>
          <c:cat>
            <c:strRef>
              <c:f>Hoja1!$P$40:$P$43</c:f>
              <c:strCache>
                <c:ptCount val="4"/>
                <c:pt idx="0">
                  <c:v>10年以上</c:v>
                </c:pt>
                <c:pt idx="1">
                  <c:v>6年以上10年未満</c:v>
                </c:pt>
                <c:pt idx="2">
                  <c:v>1年以上6年未満</c:v>
                </c:pt>
                <c:pt idx="3">
                  <c:v>1年未満</c:v>
                </c:pt>
              </c:strCache>
            </c:strRef>
          </c:cat>
          <c:val>
            <c:numRef>
              <c:f>Hoja1!$Q$40:$Q$43</c:f>
              <c:numCache>
                <c:formatCode>General</c:formatCode>
                <c:ptCount val="4"/>
                <c:pt idx="0">
                  <c:v>1</c:v>
                </c:pt>
                <c:pt idx="1">
                  <c:v>6</c:v>
                </c:pt>
                <c:pt idx="2">
                  <c:v>78</c:v>
                </c:pt>
                <c:pt idx="3">
                  <c:v>15</c:v>
                </c:pt>
              </c:numCache>
            </c:numRef>
          </c:val>
        </c:ser>
        <c:dLbls>
          <c:showLegendKey val="0"/>
          <c:showVal val="1"/>
          <c:showCatName val="0"/>
          <c:showSerName val="0"/>
          <c:showPercent val="0"/>
          <c:showBubbleSize val="0"/>
        </c:dLbls>
        <c:gapWidth val="150"/>
        <c:shape val="box"/>
        <c:axId val="216632320"/>
        <c:axId val="216650496"/>
        <c:axId val="0"/>
      </c:bar3DChart>
      <c:catAx>
        <c:axId val="216632320"/>
        <c:scaling>
          <c:orientation val="minMax"/>
        </c:scaling>
        <c:delete val="0"/>
        <c:axPos val="l"/>
        <c:majorTickMark val="out"/>
        <c:minorTickMark val="none"/>
        <c:tickLblPos val="nextTo"/>
        <c:crossAx val="216650496"/>
        <c:crosses val="autoZero"/>
        <c:auto val="1"/>
        <c:lblAlgn val="ctr"/>
        <c:lblOffset val="100"/>
        <c:noMultiLvlLbl val="0"/>
      </c:catAx>
      <c:valAx>
        <c:axId val="216650496"/>
        <c:scaling>
          <c:orientation val="minMax"/>
        </c:scaling>
        <c:delete val="0"/>
        <c:axPos val="b"/>
        <c:majorGridlines/>
        <c:numFmt formatCode="General" sourceLinked="1"/>
        <c:majorTickMark val="out"/>
        <c:minorTickMark val="none"/>
        <c:tickLblPos val="nextTo"/>
        <c:crossAx val="216632320"/>
        <c:crosses val="autoZero"/>
        <c:crossBetween val="between"/>
      </c:valAx>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b="0"/>
              <a:t>利率別国債の比率</a:t>
            </a:r>
          </a:p>
        </c:rich>
      </c:tx>
      <c:overlay val="0"/>
    </c:title>
    <c:autoTitleDeleted val="0"/>
    <c:plotArea>
      <c:layout/>
      <c:pieChart>
        <c:varyColors val="1"/>
        <c:ser>
          <c:idx val="0"/>
          <c:order val="0"/>
          <c:tx>
            <c:strRef>
              <c:f>Hoja1!$Q$45</c:f>
              <c:strCache>
                <c:ptCount val="1"/>
                <c:pt idx="0">
                  <c:v>利率別国債の比率</c:v>
                </c:pt>
              </c:strCache>
            </c:strRef>
          </c:tx>
          <c:dLbls>
            <c:dLbl>
              <c:idx val="0"/>
              <c:tx>
                <c:rich>
                  <a:bodyPr/>
                  <a:lstStyle/>
                  <a:p>
                    <a:r>
                      <a:rPr lang="ja-JP" altLang="en-US"/>
                      <a:t>固定
</a:t>
                    </a:r>
                    <a:r>
                      <a:rPr lang="en-US" altLang="ja-JP"/>
                      <a:t>75.4%</a:t>
                    </a:r>
                    <a:endParaRPr lang="ja-JP" altLang="en-US"/>
                  </a:p>
                </c:rich>
              </c:tx>
              <c:showLegendKey val="0"/>
              <c:showVal val="0"/>
              <c:showCatName val="1"/>
              <c:showSerName val="0"/>
              <c:showPercent val="1"/>
              <c:showBubbleSize val="0"/>
            </c:dLbl>
            <c:dLbl>
              <c:idx val="1"/>
              <c:tx>
                <c:rich>
                  <a:bodyPr/>
                  <a:lstStyle/>
                  <a:p>
                    <a:r>
                      <a:rPr lang="ja-JP" altLang="en-US"/>
                      <a:t>変動
</a:t>
                    </a:r>
                    <a:r>
                      <a:rPr lang="en-US" altLang="ja-JP"/>
                      <a:t>24.6%</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Hoja1!$P$46:$P$47</c:f>
              <c:strCache>
                <c:ptCount val="2"/>
                <c:pt idx="0">
                  <c:v>固定</c:v>
                </c:pt>
                <c:pt idx="1">
                  <c:v>変動</c:v>
                </c:pt>
              </c:strCache>
            </c:strRef>
          </c:cat>
          <c:val>
            <c:numRef>
              <c:f>Hoja1!$Q$46:$Q$47</c:f>
              <c:numCache>
                <c:formatCode>General</c:formatCode>
                <c:ptCount val="2"/>
                <c:pt idx="0">
                  <c:v>75.400000000000006</c:v>
                </c:pt>
                <c:pt idx="1">
                  <c:v>24.6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b="0"/>
              <a:t>外国直接投資</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Hoja1!$M$172</c:f>
              <c:strCache>
                <c:ptCount val="1"/>
                <c:pt idx="0">
                  <c:v>投資額</c:v>
                </c:pt>
              </c:strCache>
            </c:strRef>
          </c:tx>
          <c:invertIfNegative val="0"/>
          <c:cat>
            <c:numRef>
              <c:f>Hoja1!$L$173:$L$175</c:f>
              <c:numCache>
                <c:formatCode>General</c:formatCode>
                <c:ptCount val="3"/>
                <c:pt idx="0">
                  <c:v>2010</c:v>
                </c:pt>
                <c:pt idx="1">
                  <c:v>2011</c:v>
                </c:pt>
                <c:pt idx="2" formatCode="0_);\(0\)">
                  <c:v>2012</c:v>
                </c:pt>
              </c:numCache>
            </c:numRef>
          </c:cat>
          <c:val>
            <c:numRef>
              <c:f>Hoja1!$M$173:$M$175</c:f>
              <c:numCache>
                <c:formatCode>#,##0.0_ </c:formatCode>
                <c:ptCount val="3"/>
                <c:pt idx="0">
                  <c:v>969.2</c:v>
                </c:pt>
                <c:pt idx="1">
                  <c:v>1014.4</c:v>
                </c:pt>
                <c:pt idx="2">
                  <c:v>1058.5</c:v>
                </c:pt>
              </c:numCache>
            </c:numRef>
          </c:val>
        </c:ser>
        <c:dLbls>
          <c:showLegendKey val="0"/>
          <c:showVal val="1"/>
          <c:showCatName val="0"/>
          <c:showSerName val="0"/>
          <c:showPercent val="0"/>
          <c:showBubbleSize val="0"/>
        </c:dLbls>
        <c:gapWidth val="150"/>
        <c:shape val="box"/>
        <c:axId val="216822144"/>
        <c:axId val="216823680"/>
        <c:axId val="0"/>
      </c:bar3DChart>
      <c:catAx>
        <c:axId val="216822144"/>
        <c:scaling>
          <c:orientation val="minMax"/>
        </c:scaling>
        <c:delete val="0"/>
        <c:axPos val="b"/>
        <c:numFmt formatCode="General" sourceLinked="1"/>
        <c:majorTickMark val="out"/>
        <c:minorTickMark val="none"/>
        <c:tickLblPos val="nextTo"/>
        <c:crossAx val="216823680"/>
        <c:crosses val="autoZero"/>
        <c:auto val="1"/>
        <c:lblAlgn val="ctr"/>
        <c:lblOffset val="100"/>
        <c:noMultiLvlLbl val="0"/>
      </c:catAx>
      <c:valAx>
        <c:axId val="216823680"/>
        <c:scaling>
          <c:orientation val="minMax"/>
        </c:scaling>
        <c:delete val="0"/>
        <c:axPos val="l"/>
        <c:majorGridlines/>
        <c:numFmt formatCode="#,##0.0_ " sourceLinked="1"/>
        <c:majorTickMark val="out"/>
        <c:minorTickMark val="none"/>
        <c:tickLblPos val="nextTo"/>
        <c:crossAx val="216822144"/>
        <c:crosses val="autoZero"/>
        <c:crossBetween val="between"/>
      </c:valAx>
    </c:plotArea>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b="0"/>
              <a:t>地域別外国直接投資</a:t>
            </a:r>
            <a:endParaRPr lang="en-US" altLang="ja-JP" sz="1400" b="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Hoja1!$J$175</c:f>
              <c:strCache>
                <c:ptCount val="1"/>
                <c:pt idx="0">
                  <c:v>2010</c:v>
                </c:pt>
              </c:strCache>
            </c:strRef>
          </c:tx>
          <c:invertIfNegative val="0"/>
          <c:dLbls>
            <c:dLbl>
              <c:idx val="0"/>
              <c:layout>
                <c:manualLayout>
                  <c:x val="-1.6666666666666698E-2"/>
                  <c:y val="1.8518518518518549E-2"/>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Hoja1!$I$176:$I$179</c:f>
              <c:strCache>
                <c:ptCount val="4"/>
                <c:pt idx="0">
                  <c:v>北米</c:v>
                </c:pt>
                <c:pt idx="1">
                  <c:v>中米</c:v>
                </c:pt>
                <c:pt idx="2">
                  <c:v>欧州</c:v>
                </c:pt>
                <c:pt idx="3">
                  <c:v>その他</c:v>
                </c:pt>
              </c:strCache>
            </c:strRef>
          </c:cat>
          <c:val>
            <c:numRef>
              <c:f>Hoja1!$J$176:$J$179</c:f>
              <c:numCache>
                <c:formatCode>0.0_ </c:formatCode>
                <c:ptCount val="4"/>
                <c:pt idx="0">
                  <c:v>467.7</c:v>
                </c:pt>
                <c:pt idx="1">
                  <c:v>98.2</c:v>
                </c:pt>
                <c:pt idx="2">
                  <c:v>336</c:v>
                </c:pt>
                <c:pt idx="3">
                  <c:v>67.3</c:v>
                </c:pt>
              </c:numCache>
            </c:numRef>
          </c:val>
        </c:ser>
        <c:ser>
          <c:idx val="1"/>
          <c:order val="1"/>
          <c:tx>
            <c:strRef>
              <c:f>Hoja1!$K$175</c:f>
              <c:strCache>
                <c:ptCount val="1"/>
                <c:pt idx="0">
                  <c:v>2011</c:v>
                </c:pt>
              </c:strCache>
            </c:strRef>
          </c:tx>
          <c:invertIfNegative val="0"/>
          <c:dLbls>
            <c:dLbl>
              <c:idx val="0"/>
              <c:layout>
                <c:manualLayout>
                  <c:x val="2.77777777777779E-3"/>
                  <c:y val="9.2592592592593177E-3"/>
                </c:manualLayout>
              </c:layout>
              <c:showLegendKey val="0"/>
              <c:showVal val="1"/>
              <c:showCatName val="0"/>
              <c:showSerName val="0"/>
              <c:showPercent val="0"/>
              <c:showBubbleSize val="0"/>
            </c:dLbl>
            <c:dLbl>
              <c:idx val="1"/>
              <c:layout>
                <c:manualLayout>
                  <c:x val="1.1111111111111125E-2"/>
                  <c:y val="-1.3888888888888923E-2"/>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Hoja1!$I$176:$I$179</c:f>
              <c:strCache>
                <c:ptCount val="4"/>
                <c:pt idx="0">
                  <c:v>北米</c:v>
                </c:pt>
                <c:pt idx="1">
                  <c:v>中米</c:v>
                </c:pt>
                <c:pt idx="2">
                  <c:v>欧州</c:v>
                </c:pt>
                <c:pt idx="3">
                  <c:v>その他</c:v>
                </c:pt>
              </c:strCache>
            </c:strRef>
          </c:cat>
          <c:val>
            <c:numRef>
              <c:f>Hoja1!$K$176:$K$179</c:f>
              <c:numCache>
                <c:formatCode>0.0_ </c:formatCode>
                <c:ptCount val="4"/>
                <c:pt idx="0">
                  <c:v>482.2</c:v>
                </c:pt>
                <c:pt idx="1">
                  <c:v>120</c:v>
                </c:pt>
                <c:pt idx="2">
                  <c:v>376.7</c:v>
                </c:pt>
                <c:pt idx="3">
                  <c:v>35.5</c:v>
                </c:pt>
              </c:numCache>
            </c:numRef>
          </c:val>
        </c:ser>
        <c:ser>
          <c:idx val="2"/>
          <c:order val="2"/>
          <c:tx>
            <c:strRef>
              <c:f>Hoja1!$L$175</c:f>
              <c:strCache>
                <c:ptCount val="1"/>
                <c:pt idx="0">
                  <c:v>2012</c:v>
                </c:pt>
              </c:strCache>
            </c:strRef>
          </c:tx>
          <c:invertIfNegative val="0"/>
          <c:dLbls>
            <c:dLbl>
              <c:idx val="0"/>
              <c:layout>
                <c:manualLayout>
                  <c:x val="4.1666666666666664E-2"/>
                  <c:y val="0"/>
                </c:manualLayout>
              </c:layout>
              <c:showLegendKey val="0"/>
              <c:showVal val="1"/>
              <c:showCatName val="0"/>
              <c:showSerName val="0"/>
              <c:showPercent val="0"/>
              <c:showBubbleSize val="0"/>
            </c:dLbl>
            <c:dLbl>
              <c:idx val="1"/>
              <c:layout>
                <c:manualLayout>
                  <c:x val="3.3333114610673759E-2"/>
                  <c:y val="8.487556272013422E-17"/>
                </c:manualLayout>
              </c:layout>
              <c:showLegendKey val="0"/>
              <c:showVal val="1"/>
              <c:showCatName val="0"/>
              <c:showSerName val="0"/>
              <c:showPercent val="0"/>
              <c:showBubbleSize val="0"/>
            </c:dLbl>
            <c:dLbl>
              <c:idx val="2"/>
              <c:layout>
                <c:manualLayout>
                  <c:x val="3.0555555555555582E-2"/>
                  <c:y val="1.3888888888888966E-2"/>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Hoja1!$I$176:$I$179</c:f>
              <c:strCache>
                <c:ptCount val="4"/>
                <c:pt idx="0">
                  <c:v>北米</c:v>
                </c:pt>
                <c:pt idx="1">
                  <c:v>中米</c:v>
                </c:pt>
                <c:pt idx="2">
                  <c:v>欧州</c:v>
                </c:pt>
                <c:pt idx="3">
                  <c:v>その他</c:v>
                </c:pt>
              </c:strCache>
            </c:strRef>
          </c:cat>
          <c:val>
            <c:numRef>
              <c:f>Hoja1!$L$176:$L$179</c:f>
              <c:numCache>
                <c:formatCode>0.0_ </c:formatCode>
                <c:ptCount val="4"/>
                <c:pt idx="0">
                  <c:v>496.8</c:v>
                </c:pt>
                <c:pt idx="1">
                  <c:v>116.7</c:v>
                </c:pt>
                <c:pt idx="2">
                  <c:v>369.2</c:v>
                </c:pt>
                <c:pt idx="3">
                  <c:v>75.8</c:v>
                </c:pt>
              </c:numCache>
            </c:numRef>
          </c:val>
        </c:ser>
        <c:dLbls>
          <c:showLegendKey val="0"/>
          <c:showVal val="1"/>
          <c:showCatName val="0"/>
          <c:showSerName val="0"/>
          <c:showPercent val="0"/>
          <c:showBubbleSize val="0"/>
        </c:dLbls>
        <c:gapWidth val="150"/>
        <c:shape val="box"/>
        <c:axId val="217220224"/>
        <c:axId val="217221760"/>
        <c:axId val="0"/>
      </c:bar3DChart>
      <c:catAx>
        <c:axId val="217220224"/>
        <c:scaling>
          <c:orientation val="minMax"/>
        </c:scaling>
        <c:delete val="0"/>
        <c:axPos val="b"/>
        <c:majorTickMark val="none"/>
        <c:minorTickMark val="none"/>
        <c:tickLblPos val="nextTo"/>
        <c:crossAx val="217221760"/>
        <c:crosses val="autoZero"/>
        <c:auto val="1"/>
        <c:lblAlgn val="ctr"/>
        <c:lblOffset val="100"/>
        <c:noMultiLvlLbl val="0"/>
      </c:catAx>
      <c:valAx>
        <c:axId val="217221760"/>
        <c:scaling>
          <c:orientation val="minMax"/>
        </c:scaling>
        <c:delete val="0"/>
        <c:axPos val="l"/>
        <c:majorGridlines/>
        <c:numFmt formatCode="0.0_ " sourceLinked="1"/>
        <c:majorTickMark val="none"/>
        <c:minorTickMark val="none"/>
        <c:tickLblPos val="nextTo"/>
        <c:crossAx val="21722022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b="0"/>
              <a:t>経済成長率</a:t>
            </a:r>
          </a:p>
        </c:rich>
      </c:tx>
      <c:overlay val="0"/>
    </c:title>
    <c:autoTitleDeleted val="0"/>
    <c:plotArea>
      <c:layout>
        <c:manualLayout>
          <c:layoutTarget val="inner"/>
          <c:xMode val="edge"/>
          <c:yMode val="edge"/>
          <c:x val="7.1960629921259872E-2"/>
          <c:y val="0.17825240594925634"/>
          <c:w val="0.90303937007874013"/>
          <c:h val="0.67359944590259679"/>
        </c:manualLayout>
      </c:layout>
      <c:barChart>
        <c:barDir val="col"/>
        <c:grouping val="clustered"/>
        <c:varyColors val="0"/>
        <c:ser>
          <c:idx val="0"/>
          <c:order val="0"/>
          <c:tx>
            <c:strRef>
              <c:f>Hoja1!$J$59</c:f>
              <c:strCache>
                <c:ptCount val="1"/>
                <c:pt idx="0">
                  <c:v>経済成長率</c:v>
                </c:pt>
              </c:strCache>
            </c:strRef>
          </c:tx>
          <c:invertIfNegative val="0"/>
          <c:cat>
            <c:numRef>
              <c:f>Hoja1!$I$60:$I$65</c:f>
              <c:numCache>
                <c:formatCode>General</c:formatCode>
                <c:ptCount val="6"/>
                <c:pt idx="0">
                  <c:v>2007</c:v>
                </c:pt>
                <c:pt idx="1">
                  <c:v>2008</c:v>
                </c:pt>
                <c:pt idx="2">
                  <c:v>2009</c:v>
                </c:pt>
                <c:pt idx="3">
                  <c:v>2010</c:v>
                </c:pt>
                <c:pt idx="4">
                  <c:v>2011</c:v>
                </c:pt>
                <c:pt idx="5">
                  <c:v>2012</c:v>
                </c:pt>
              </c:numCache>
            </c:numRef>
          </c:cat>
          <c:val>
            <c:numRef>
              <c:f>Hoja1!$J$60:$J$65</c:f>
              <c:numCache>
                <c:formatCode>General</c:formatCode>
                <c:ptCount val="6"/>
                <c:pt idx="0">
                  <c:v>6.2</c:v>
                </c:pt>
                <c:pt idx="1">
                  <c:v>4.2</c:v>
                </c:pt>
                <c:pt idx="2">
                  <c:v>-2.4</c:v>
                </c:pt>
                <c:pt idx="3">
                  <c:v>3.7</c:v>
                </c:pt>
                <c:pt idx="4">
                  <c:v>3.7</c:v>
                </c:pt>
                <c:pt idx="5">
                  <c:v>3.3</c:v>
                </c:pt>
              </c:numCache>
            </c:numRef>
          </c:val>
        </c:ser>
        <c:dLbls>
          <c:showLegendKey val="0"/>
          <c:showVal val="1"/>
          <c:showCatName val="0"/>
          <c:showSerName val="0"/>
          <c:showPercent val="0"/>
          <c:showBubbleSize val="0"/>
        </c:dLbls>
        <c:gapWidth val="75"/>
        <c:overlap val="-25"/>
        <c:axId val="174335488"/>
        <c:axId val="174337024"/>
      </c:barChart>
      <c:catAx>
        <c:axId val="174335488"/>
        <c:scaling>
          <c:orientation val="minMax"/>
        </c:scaling>
        <c:delete val="1"/>
        <c:axPos val="b"/>
        <c:numFmt formatCode="General" sourceLinked="1"/>
        <c:majorTickMark val="none"/>
        <c:minorTickMark val="none"/>
        <c:tickLblPos val="none"/>
        <c:crossAx val="174337024"/>
        <c:crosses val="autoZero"/>
        <c:auto val="1"/>
        <c:lblAlgn val="ctr"/>
        <c:lblOffset val="100"/>
        <c:noMultiLvlLbl val="0"/>
      </c:catAx>
      <c:valAx>
        <c:axId val="174337024"/>
        <c:scaling>
          <c:orientation val="minMax"/>
        </c:scaling>
        <c:delete val="0"/>
        <c:axPos val="l"/>
        <c:majorGridlines/>
        <c:numFmt formatCode="General" sourceLinked="1"/>
        <c:majorTickMark val="none"/>
        <c:minorTickMark val="none"/>
        <c:tickLblPos val="nextTo"/>
        <c:spPr>
          <a:ln w="9525">
            <a:noFill/>
          </a:ln>
        </c:spPr>
        <c:crossAx val="174335488"/>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b="0"/>
              <a:t>経済活動指標</a:t>
            </a:r>
            <a:r>
              <a:rPr lang="en-US" altLang="ja-JP" sz="1400" b="0"/>
              <a:t>(2010</a:t>
            </a:r>
            <a:r>
              <a:rPr lang="ja-JP" altLang="en-US" sz="1400" b="0"/>
              <a:t>年－</a:t>
            </a:r>
            <a:r>
              <a:rPr lang="en-US" altLang="ja-JP" sz="1400" b="0"/>
              <a:t>2012</a:t>
            </a:r>
            <a:r>
              <a:rPr lang="ja-JP" altLang="en-US" sz="1400" b="0"/>
              <a:t>年）</a:t>
            </a:r>
            <a:endParaRPr lang="en-US" altLang="ja-JP" sz="1400" b="0"/>
          </a:p>
        </c:rich>
      </c:tx>
      <c:overlay val="0"/>
    </c:title>
    <c:autoTitleDeleted val="0"/>
    <c:plotArea>
      <c:layout>
        <c:manualLayout>
          <c:layoutTarget val="inner"/>
          <c:xMode val="edge"/>
          <c:yMode val="edge"/>
          <c:x val="5.7856643085606486E-2"/>
          <c:y val="0.17690981335666395"/>
          <c:w val="0.82164807679353724"/>
          <c:h val="0.6373370516185487"/>
        </c:manualLayout>
      </c:layout>
      <c:barChart>
        <c:barDir val="col"/>
        <c:grouping val="clustered"/>
        <c:varyColors val="0"/>
        <c:ser>
          <c:idx val="0"/>
          <c:order val="0"/>
          <c:tx>
            <c:strRef>
              <c:f>Hoja1!$M$66</c:f>
              <c:strCache>
                <c:ptCount val="1"/>
                <c:pt idx="0">
                  <c:v>2010</c:v>
                </c:pt>
              </c:strCache>
            </c:strRef>
          </c:tx>
          <c:invertIfNegative val="0"/>
          <c:dLbls>
            <c:txPr>
              <a:bodyPr/>
              <a:lstStyle/>
              <a:p>
                <a:pPr>
                  <a:defRPr sz="900"/>
                </a:pPr>
                <a:endParaRPr lang="ja-JP"/>
              </a:p>
            </c:txPr>
            <c:dLblPos val="outEnd"/>
            <c:showLegendKey val="0"/>
            <c:showVal val="1"/>
            <c:showCatName val="0"/>
            <c:showSerName val="0"/>
            <c:showPercent val="0"/>
            <c:showBubbleSize val="0"/>
            <c:showLeaderLines val="0"/>
          </c:dLbls>
          <c:cat>
            <c:strRef>
              <c:f>Hoja1!$L$67:$L$73</c:f>
              <c:strCache>
                <c:ptCount val="7"/>
                <c:pt idx="0">
                  <c:v>Construction</c:v>
                </c:pt>
                <c:pt idx="1">
                  <c:v>Manufacture</c:v>
                </c:pt>
                <c:pt idx="2">
                  <c:v>Mail &amp; Telecomm</c:v>
                </c:pt>
                <c:pt idx="3">
                  <c:v>Agriculture, forestry and fishing</c:v>
                </c:pt>
                <c:pt idx="4">
                  <c:v>Commerce</c:v>
                </c:pt>
                <c:pt idx="5">
                  <c:v>Financial Services</c:v>
                </c:pt>
                <c:pt idx="6">
                  <c:v>Transportation</c:v>
                </c:pt>
              </c:strCache>
            </c:strRef>
          </c:cat>
          <c:val>
            <c:numRef>
              <c:f>Hoja1!$M$67:$M$73</c:f>
              <c:numCache>
                <c:formatCode>General</c:formatCode>
                <c:ptCount val="7"/>
                <c:pt idx="0">
                  <c:v>-2.4</c:v>
                </c:pt>
                <c:pt idx="1">
                  <c:v>4.5</c:v>
                </c:pt>
                <c:pt idx="2">
                  <c:v>8.2000000000000011</c:v>
                </c:pt>
                <c:pt idx="3">
                  <c:v>1.8</c:v>
                </c:pt>
                <c:pt idx="4">
                  <c:v>3.3</c:v>
                </c:pt>
                <c:pt idx="5">
                  <c:v>8.3000000000000007</c:v>
                </c:pt>
                <c:pt idx="6">
                  <c:v>5.7</c:v>
                </c:pt>
              </c:numCache>
            </c:numRef>
          </c:val>
        </c:ser>
        <c:ser>
          <c:idx val="1"/>
          <c:order val="1"/>
          <c:tx>
            <c:strRef>
              <c:f>Hoja1!$N$66</c:f>
              <c:strCache>
                <c:ptCount val="1"/>
                <c:pt idx="0">
                  <c:v>2011</c:v>
                </c:pt>
              </c:strCache>
            </c:strRef>
          </c:tx>
          <c:invertIfNegative val="0"/>
          <c:dLbls>
            <c:dLbl>
              <c:idx val="1"/>
              <c:layout>
                <c:manualLayout>
                  <c:x val="8.3333333333333766E-3"/>
                  <c:y val="0"/>
                </c:manualLayout>
              </c:layout>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strRef>
              <c:f>Hoja1!$L$67:$L$73</c:f>
              <c:strCache>
                <c:ptCount val="7"/>
                <c:pt idx="0">
                  <c:v>Construction</c:v>
                </c:pt>
                <c:pt idx="1">
                  <c:v>Manufacture</c:v>
                </c:pt>
                <c:pt idx="2">
                  <c:v>Mail &amp; Telecomm</c:v>
                </c:pt>
                <c:pt idx="3">
                  <c:v>Agriculture, forestry and fishing</c:v>
                </c:pt>
                <c:pt idx="4">
                  <c:v>Commerce</c:v>
                </c:pt>
                <c:pt idx="5">
                  <c:v>Financial Services</c:v>
                </c:pt>
                <c:pt idx="6">
                  <c:v>Transportation</c:v>
                </c:pt>
              </c:strCache>
            </c:strRef>
          </c:cat>
          <c:val>
            <c:numRef>
              <c:f>Hoja1!$N$67:$N$73</c:f>
              <c:numCache>
                <c:formatCode>General</c:formatCode>
                <c:ptCount val="7"/>
                <c:pt idx="0">
                  <c:v>4.2</c:v>
                </c:pt>
                <c:pt idx="1">
                  <c:v>3.8</c:v>
                </c:pt>
                <c:pt idx="2">
                  <c:v>9.8000000000000007</c:v>
                </c:pt>
                <c:pt idx="3">
                  <c:v>5.8</c:v>
                </c:pt>
                <c:pt idx="4" formatCode="0.0_ ">
                  <c:v>4</c:v>
                </c:pt>
                <c:pt idx="5">
                  <c:v>1.7</c:v>
                </c:pt>
                <c:pt idx="6">
                  <c:v>5.3</c:v>
                </c:pt>
              </c:numCache>
            </c:numRef>
          </c:val>
        </c:ser>
        <c:ser>
          <c:idx val="2"/>
          <c:order val="2"/>
          <c:tx>
            <c:strRef>
              <c:f>Hoja1!$O$66</c:f>
              <c:strCache>
                <c:ptCount val="1"/>
                <c:pt idx="0">
                  <c:v>2012</c:v>
                </c:pt>
              </c:strCache>
            </c:strRef>
          </c:tx>
          <c:invertIfNegative val="0"/>
          <c:dLbls>
            <c:dLbl>
              <c:idx val="4"/>
              <c:layout>
                <c:manualLayout>
                  <c:x val="8.3333333333333367E-3"/>
                  <c:y val="4.2437781360067067E-17"/>
                </c:manualLayout>
              </c:layout>
              <c:dLblPos val="outEnd"/>
              <c:showLegendKey val="0"/>
              <c:showVal val="1"/>
              <c:showCatName val="0"/>
              <c:showSerName val="0"/>
              <c:showPercent val="0"/>
              <c:showBubbleSize val="0"/>
            </c:dLbl>
            <c:dLbl>
              <c:idx val="6"/>
              <c:layout>
                <c:manualLayout>
                  <c:x val="1.3888888888888824E-2"/>
                  <c:y val="1.3888888888888885E-2"/>
                </c:manualLayout>
              </c:layout>
              <c:dLblPos val="outEnd"/>
              <c:showLegendKey val="0"/>
              <c:showVal val="1"/>
              <c:showCatName val="0"/>
              <c:showSerName val="0"/>
              <c:showPercent val="0"/>
              <c:showBubbleSize val="0"/>
            </c:dLbl>
            <c:txPr>
              <a:bodyPr/>
              <a:lstStyle/>
              <a:p>
                <a:pPr>
                  <a:defRPr sz="900"/>
                </a:pPr>
                <a:endParaRPr lang="ja-JP"/>
              </a:p>
            </c:txPr>
            <c:dLblPos val="outEnd"/>
            <c:showLegendKey val="0"/>
            <c:showVal val="1"/>
            <c:showCatName val="0"/>
            <c:showSerName val="0"/>
            <c:showPercent val="0"/>
            <c:showBubbleSize val="0"/>
            <c:showLeaderLines val="0"/>
          </c:dLbls>
          <c:cat>
            <c:strRef>
              <c:f>Hoja1!$L$67:$L$73</c:f>
              <c:strCache>
                <c:ptCount val="7"/>
                <c:pt idx="0">
                  <c:v>Construction</c:v>
                </c:pt>
                <c:pt idx="1">
                  <c:v>Manufacture</c:v>
                </c:pt>
                <c:pt idx="2">
                  <c:v>Mail &amp; Telecomm</c:v>
                </c:pt>
                <c:pt idx="3">
                  <c:v>Agriculture, forestry and fishing</c:v>
                </c:pt>
                <c:pt idx="4">
                  <c:v>Commerce</c:v>
                </c:pt>
                <c:pt idx="5">
                  <c:v>Financial Services</c:v>
                </c:pt>
                <c:pt idx="6">
                  <c:v>Transportation</c:v>
                </c:pt>
              </c:strCache>
            </c:strRef>
          </c:cat>
          <c:val>
            <c:numRef>
              <c:f>Hoja1!$O$67:$O$73</c:f>
              <c:numCache>
                <c:formatCode>General</c:formatCode>
                <c:ptCount val="7"/>
                <c:pt idx="0">
                  <c:v>2.4</c:v>
                </c:pt>
                <c:pt idx="1">
                  <c:v>1.3</c:v>
                </c:pt>
                <c:pt idx="2">
                  <c:v>8.4</c:v>
                </c:pt>
                <c:pt idx="3">
                  <c:v>8.1</c:v>
                </c:pt>
                <c:pt idx="4">
                  <c:v>3.7</c:v>
                </c:pt>
                <c:pt idx="5">
                  <c:v>5.4</c:v>
                </c:pt>
                <c:pt idx="6">
                  <c:v>4.7</c:v>
                </c:pt>
              </c:numCache>
            </c:numRef>
          </c:val>
        </c:ser>
        <c:dLbls>
          <c:showLegendKey val="0"/>
          <c:showVal val="1"/>
          <c:showCatName val="0"/>
          <c:showSerName val="0"/>
          <c:showPercent val="0"/>
          <c:showBubbleSize val="0"/>
        </c:dLbls>
        <c:gapWidth val="150"/>
        <c:axId val="174375296"/>
        <c:axId val="174376832"/>
      </c:barChart>
      <c:catAx>
        <c:axId val="174375296"/>
        <c:scaling>
          <c:orientation val="minMax"/>
        </c:scaling>
        <c:delete val="0"/>
        <c:axPos val="b"/>
        <c:majorTickMark val="out"/>
        <c:minorTickMark val="none"/>
        <c:tickLblPos val="nextTo"/>
        <c:crossAx val="174376832"/>
        <c:crosses val="autoZero"/>
        <c:auto val="1"/>
        <c:lblAlgn val="ctr"/>
        <c:lblOffset val="100"/>
        <c:noMultiLvlLbl val="0"/>
      </c:catAx>
      <c:valAx>
        <c:axId val="174376832"/>
        <c:scaling>
          <c:orientation val="minMax"/>
        </c:scaling>
        <c:delete val="0"/>
        <c:axPos val="l"/>
        <c:majorGridlines/>
        <c:numFmt formatCode="General" sourceLinked="1"/>
        <c:majorTickMark val="out"/>
        <c:minorTickMark val="none"/>
        <c:tickLblPos val="nextTo"/>
        <c:crossAx val="17437529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b="0"/>
              <a:t>貿易収支</a:t>
            </a:r>
            <a:r>
              <a:rPr lang="en-US" altLang="ja-JP" sz="1400" b="0"/>
              <a:t>(</a:t>
            </a:r>
            <a:r>
              <a:rPr lang="ja-JP" altLang="en-US" sz="1400" b="0"/>
              <a:t>サービスを含まない）</a:t>
            </a:r>
            <a:endParaRPr lang="en-US" altLang="en-US" sz="1400" b="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854396325459321"/>
          <c:y val="0.18832259603913148"/>
          <c:w val="0.70072134733158609"/>
          <c:h val="0.68136346593039343"/>
        </c:manualLayout>
      </c:layout>
      <c:bar3DChart>
        <c:barDir val="col"/>
        <c:grouping val="clustered"/>
        <c:varyColors val="0"/>
        <c:ser>
          <c:idx val="0"/>
          <c:order val="0"/>
          <c:tx>
            <c:strRef>
              <c:f>Hoja1!$M$112</c:f>
              <c:strCache>
                <c:ptCount val="1"/>
                <c:pt idx="0">
                  <c:v>2011</c:v>
                </c:pt>
              </c:strCache>
            </c:strRef>
          </c:tx>
          <c:invertIfNegative val="0"/>
          <c:dLbls>
            <c:dLbl>
              <c:idx val="2"/>
              <c:layout>
                <c:manualLayout>
                  <c:x val="-2.5000000000000001E-2"/>
                  <c:y val="0"/>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Hoja1!$L$113:$L$115</c:f>
              <c:strCache>
                <c:ptCount val="3"/>
                <c:pt idx="0">
                  <c:v>Exports</c:v>
                </c:pt>
                <c:pt idx="1">
                  <c:v>Imports</c:v>
                </c:pt>
                <c:pt idx="2">
                  <c:v>Trade Balance</c:v>
                </c:pt>
              </c:strCache>
            </c:strRef>
          </c:cat>
          <c:val>
            <c:numRef>
              <c:f>Hoja1!$M$113:$M$115</c:f>
              <c:numCache>
                <c:formatCode>#,##0.0_ </c:formatCode>
                <c:ptCount val="3"/>
                <c:pt idx="0">
                  <c:v>7799.8</c:v>
                </c:pt>
                <c:pt idx="1">
                  <c:v>10993.8</c:v>
                </c:pt>
                <c:pt idx="2">
                  <c:v>-3194</c:v>
                </c:pt>
              </c:numCache>
            </c:numRef>
          </c:val>
        </c:ser>
        <c:ser>
          <c:idx val="1"/>
          <c:order val="1"/>
          <c:tx>
            <c:strRef>
              <c:f>Hoja1!$N$112</c:f>
              <c:strCache>
                <c:ptCount val="1"/>
                <c:pt idx="0">
                  <c:v>2012</c:v>
                </c:pt>
              </c:strCache>
            </c:strRef>
          </c:tx>
          <c:invertIfNegative val="0"/>
          <c:dLbls>
            <c:dLbl>
              <c:idx val="0"/>
              <c:layout>
                <c:manualLayout>
                  <c:x val="2.5000000000000001E-2"/>
                  <c:y val="-2.5974025974026038E-2"/>
                </c:manualLayout>
              </c:layout>
              <c:showLegendKey val="0"/>
              <c:showVal val="1"/>
              <c:showCatName val="0"/>
              <c:showSerName val="0"/>
              <c:showPercent val="0"/>
              <c:showBubbleSize val="0"/>
            </c:dLbl>
            <c:dLbl>
              <c:idx val="1"/>
              <c:layout>
                <c:manualLayout>
                  <c:x val="3.6111111111111198E-2"/>
                  <c:y val="-2.5974025974026038E-2"/>
                </c:manualLayout>
              </c:layout>
              <c:showLegendKey val="0"/>
              <c:showVal val="1"/>
              <c:showCatName val="0"/>
              <c:showSerName val="0"/>
              <c:showPercent val="0"/>
              <c:showBubbleSize val="0"/>
            </c:dLbl>
            <c:dLbl>
              <c:idx val="2"/>
              <c:layout>
                <c:manualLayout>
                  <c:x val="2.2222222222222251E-2"/>
                  <c:y val="-4.3286634625217492E-3"/>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Hoja1!$L$113:$L$115</c:f>
              <c:strCache>
                <c:ptCount val="3"/>
                <c:pt idx="0">
                  <c:v>Exports</c:v>
                </c:pt>
                <c:pt idx="1">
                  <c:v>Imports</c:v>
                </c:pt>
                <c:pt idx="2">
                  <c:v>Trade Balance</c:v>
                </c:pt>
              </c:strCache>
            </c:strRef>
          </c:cat>
          <c:val>
            <c:numRef>
              <c:f>Hoja1!$N$113:$N$115</c:f>
              <c:numCache>
                <c:formatCode>#,##0.0_ </c:formatCode>
                <c:ptCount val="3"/>
                <c:pt idx="0">
                  <c:v>7931.1</c:v>
                </c:pt>
                <c:pt idx="1">
                  <c:v>11179.2</c:v>
                </c:pt>
                <c:pt idx="2">
                  <c:v>-3248.1</c:v>
                </c:pt>
              </c:numCache>
            </c:numRef>
          </c:val>
        </c:ser>
        <c:dLbls>
          <c:showLegendKey val="0"/>
          <c:showVal val="1"/>
          <c:showCatName val="0"/>
          <c:showSerName val="0"/>
          <c:showPercent val="0"/>
          <c:showBubbleSize val="0"/>
        </c:dLbls>
        <c:gapWidth val="150"/>
        <c:shape val="box"/>
        <c:axId val="174473600"/>
        <c:axId val="174475520"/>
        <c:axId val="0"/>
      </c:bar3DChart>
      <c:catAx>
        <c:axId val="174473600"/>
        <c:scaling>
          <c:orientation val="minMax"/>
        </c:scaling>
        <c:delete val="1"/>
        <c:axPos val="b"/>
        <c:title>
          <c:tx>
            <c:rich>
              <a:bodyPr/>
              <a:lstStyle/>
              <a:p>
                <a:pPr>
                  <a:defRPr/>
                </a:pPr>
                <a:r>
                  <a:rPr lang="en-US" altLang="en-US" sz="800" b="0"/>
                  <a:t>Exports</a:t>
                </a:r>
              </a:p>
            </c:rich>
          </c:tx>
          <c:layout>
            <c:manualLayout>
              <c:xMode val="edge"/>
              <c:yMode val="edge"/>
              <c:x val="0.2502049431321085"/>
              <c:y val="0.88447932644783034"/>
            </c:manualLayout>
          </c:layout>
          <c:overlay val="0"/>
        </c:title>
        <c:majorTickMark val="none"/>
        <c:minorTickMark val="none"/>
        <c:tickLblPos val="none"/>
        <c:crossAx val="174475520"/>
        <c:crosses val="autoZero"/>
        <c:auto val="1"/>
        <c:lblAlgn val="ctr"/>
        <c:lblOffset val="100"/>
        <c:noMultiLvlLbl val="0"/>
      </c:catAx>
      <c:valAx>
        <c:axId val="174475520"/>
        <c:scaling>
          <c:orientation val="minMax"/>
        </c:scaling>
        <c:delete val="0"/>
        <c:axPos val="l"/>
        <c:majorGridlines/>
        <c:numFmt formatCode="#,##0.0_ " sourceLinked="1"/>
        <c:majorTickMark val="none"/>
        <c:minorTickMark val="none"/>
        <c:tickLblPos val="nextTo"/>
        <c:crossAx val="17447360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b="0"/>
              <a:t>一般財の貿易収支</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74466316710415"/>
          <c:y val="0.20140055409740493"/>
          <c:w val="0.72181867891513563"/>
          <c:h val="0.69164333624963703"/>
        </c:manualLayout>
      </c:layout>
      <c:bar3DChart>
        <c:barDir val="col"/>
        <c:grouping val="clustered"/>
        <c:varyColors val="0"/>
        <c:ser>
          <c:idx val="0"/>
          <c:order val="0"/>
          <c:tx>
            <c:strRef>
              <c:f>Hoja1!$N$128</c:f>
              <c:strCache>
                <c:ptCount val="1"/>
                <c:pt idx="0">
                  <c:v>2011</c:v>
                </c:pt>
              </c:strCache>
            </c:strRef>
          </c:tx>
          <c:invertIfNegative val="0"/>
          <c:dLbls>
            <c:dLbl>
              <c:idx val="2"/>
              <c:layout>
                <c:manualLayout>
                  <c:x val="-2.2222222222222251E-2"/>
                  <c:y val="1.388888888888893E-2"/>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Hoja1!$M$129:$M$131</c:f>
              <c:strCache>
                <c:ptCount val="3"/>
                <c:pt idx="0">
                  <c:v>Exports</c:v>
                </c:pt>
                <c:pt idx="1">
                  <c:v>Imports</c:v>
                </c:pt>
                <c:pt idx="2">
                  <c:v>Trade Balance</c:v>
                </c:pt>
              </c:strCache>
            </c:strRef>
          </c:cat>
          <c:val>
            <c:numRef>
              <c:f>Hoja1!$N$129:$N$131</c:f>
              <c:numCache>
                <c:formatCode>#,##0.0_ </c:formatCode>
                <c:ptCount val="3"/>
                <c:pt idx="0">
                  <c:v>3908.9</c:v>
                </c:pt>
                <c:pt idx="1">
                  <c:v>8355.9</c:v>
                </c:pt>
                <c:pt idx="2">
                  <c:v>-4447</c:v>
                </c:pt>
              </c:numCache>
            </c:numRef>
          </c:val>
        </c:ser>
        <c:ser>
          <c:idx val="1"/>
          <c:order val="1"/>
          <c:tx>
            <c:strRef>
              <c:f>Hoja1!$O$128</c:f>
              <c:strCache>
                <c:ptCount val="1"/>
                <c:pt idx="0">
                  <c:v>2012</c:v>
                </c:pt>
              </c:strCache>
            </c:strRef>
          </c:tx>
          <c:invertIfNegative val="0"/>
          <c:dLbls>
            <c:dLbl>
              <c:idx val="0"/>
              <c:layout>
                <c:manualLayout>
                  <c:x val="2.5000000000000001E-2"/>
                  <c:y val="-2.3148148148148077E-2"/>
                </c:manualLayout>
              </c:layout>
              <c:showLegendKey val="0"/>
              <c:showVal val="1"/>
              <c:showCatName val="0"/>
              <c:showSerName val="0"/>
              <c:showPercent val="0"/>
              <c:showBubbleSize val="0"/>
            </c:dLbl>
            <c:dLbl>
              <c:idx val="1"/>
              <c:layout>
                <c:manualLayout>
                  <c:x val="1.6666666666666701E-2"/>
                  <c:y val="-1.8518518518518556E-2"/>
                </c:manualLayout>
              </c:layout>
              <c:showLegendKey val="0"/>
              <c:showVal val="1"/>
              <c:showCatName val="0"/>
              <c:showSerName val="0"/>
              <c:showPercent val="0"/>
              <c:showBubbleSize val="0"/>
            </c:dLbl>
            <c:dLbl>
              <c:idx val="2"/>
              <c:layout>
                <c:manualLayout>
                  <c:x val="1.388888888888893E-2"/>
                  <c:y val="0"/>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Hoja1!$M$129:$M$131</c:f>
              <c:strCache>
                <c:ptCount val="3"/>
                <c:pt idx="0">
                  <c:v>Exports</c:v>
                </c:pt>
                <c:pt idx="1">
                  <c:v>Imports</c:v>
                </c:pt>
                <c:pt idx="2">
                  <c:v>Trade Balance</c:v>
                </c:pt>
              </c:strCache>
            </c:strRef>
          </c:cat>
          <c:val>
            <c:numRef>
              <c:f>Hoja1!$O$129:$O$131</c:f>
              <c:numCache>
                <c:formatCode>#,##0.0_ </c:formatCode>
                <c:ptCount val="3"/>
                <c:pt idx="0">
                  <c:v>4310.9000000000005</c:v>
                </c:pt>
                <c:pt idx="1">
                  <c:v>8808.2000000000007</c:v>
                </c:pt>
                <c:pt idx="2">
                  <c:v>-4497.4000000000005</c:v>
                </c:pt>
              </c:numCache>
            </c:numRef>
          </c:val>
        </c:ser>
        <c:dLbls>
          <c:showLegendKey val="0"/>
          <c:showVal val="1"/>
          <c:showCatName val="0"/>
          <c:showSerName val="0"/>
          <c:showPercent val="0"/>
          <c:showBubbleSize val="0"/>
        </c:dLbls>
        <c:gapWidth val="150"/>
        <c:shape val="box"/>
        <c:axId val="174491136"/>
        <c:axId val="174492672"/>
        <c:axId val="0"/>
      </c:bar3DChart>
      <c:catAx>
        <c:axId val="174491136"/>
        <c:scaling>
          <c:orientation val="minMax"/>
        </c:scaling>
        <c:delete val="1"/>
        <c:axPos val="b"/>
        <c:majorTickMark val="none"/>
        <c:minorTickMark val="none"/>
        <c:tickLblPos val="none"/>
        <c:crossAx val="174492672"/>
        <c:crosses val="autoZero"/>
        <c:auto val="1"/>
        <c:lblAlgn val="ctr"/>
        <c:lblOffset val="100"/>
        <c:noMultiLvlLbl val="0"/>
      </c:catAx>
      <c:valAx>
        <c:axId val="174492672"/>
        <c:scaling>
          <c:orientation val="minMax"/>
        </c:scaling>
        <c:delete val="0"/>
        <c:axPos val="l"/>
        <c:majorGridlines/>
        <c:numFmt formatCode="#,##0.0_ " sourceLinked="1"/>
        <c:majorTickMark val="none"/>
        <c:minorTickMark val="none"/>
        <c:tickLblPos val="nextTo"/>
        <c:crossAx val="17449113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ja-JP" altLang="en-US" sz="1400" b="0"/>
              <a:t>マキラドーラの貿易収支</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Hoja1!$N$149</c:f>
              <c:strCache>
                <c:ptCount val="1"/>
                <c:pt idx="0">
                  <c:v>2011</c:v>
                </c:pt>
              </c:strCache>
            </c:strRef>
          </c:tx>
          <c:invertIfNegative val="0"/>
          <c:dLbls>
            <c:dLbl>
              <c:idx val="2"/>
              <c:layout>
                <c:manualLayout>
                  <c:x val="-3.333333333333334E-2"/>
                  <c:y val="8.487556272013422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Hoja1!$M$150:$M$152</c:f>
              <c:numCache>
                <c:formatCode>General</c:formatCode>
                <c:ptCount val="3"/>
              </c:numCache>
            </c:numRef>
          </c:cat>
          <c:val>
            <c:numRef>
              <c:f>Hoja1!$N$150:$N$152</c:f>
              <c:numCache>
                <c:formatCode>General</c:formatCode>
                <c:ptCount val="3"/>
                <c:pt idx="0">
                  <c:v>3779.5</c:v>
                </c:pt>
                <c:pt idx="1">
                  <c:v>2636.2</c:v>
                </c:pt>
                <c:pt idx="2">
                  <c:v>-1143.3000000000002</c:v>
                </c:pt>
              </c:numCache>
            </c:numRef>
          </c:val>
        </c:ser>
        <c:ser>
          <c:idx val="1"/>
          <c:order val="1"/>
          <c:tx>
            <c:strRef>
              <c:f>Hoja1!$O$149</c:f>
              <c:strCache>
                <c:ptCount val="1"/>
                <c:pt idx="0">
                  <c:v>2012</c:v>
                </c:pt>
              </c:strCache>
            </c:strRef>
          </c:tx>
          <c:invertIfNegative val="0"/>
          <c:dLbls>
            <c:dLbl>
              <c:idx val="0"/>
              <c:layout>
                <c:manualLayout>
                  <c:x val="1.3888888888888923E-2"/>
                  <c:y val="-2.3148148148148147E-2"/>
                </c:manualLayout>
              </c:layout>
              <c:showLegendKey val="0"/>
              <c:showVal val="1"/>
              <c:showCatName val="0"/>
              <c:showSerName val="0"/>
              <c:showPercent val="0"/>
              <c:showBubbleSize val="0"/>
            </c:dLbl>
            <c:dLbl>
              <c:idx val="1"/>
              <c:layout>
                <c:manualLayout>
                  <c:x val="3.888888888888889E-2"/>
                  <c:y val="-9.2592592592592952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Hoja1!$M$150:$M$152</c:f>
              <c:numCache>
                <c:formatCode>General</c:formatCode>
                <c:ptCount val="3"/>
              </c:numCache>
            </c:numRef>
          </c:cat>
          <c:val>
            <c:numRef>
              <c:f>Hoja1!$O$150:$O$152</c:f>
              <c:numCache>
                <c:formatCode>General</c:formatCode>
                <c:ptCount val="3"/>
                <c:pt idx="0">
                  <c:v>4392.3</c:v>
                </c:pt>
                <c:pt idx="1">
                  <c:v>2368.3000000000002</c:v>
                </c:pt>
                <c:pt idx="2">
                  <c:v>-2024</c:v>
                </c:pt>
              </c:numCache>
            </c:numRef>
          </c:val>
        </c:ser>
        <c:dLbls>
          <c:showLegendKey val="0"/>
          <c:showVal val="1"/>
          <c:showCatName val="0"/>
          <c:showSerName val="0"/>
          <c:showPercent val="0"/>
          <c:showBubbleSize val="0"/>
        </c:dLbls>
        <c:gapWidth val="150"/>
        <c:shape val="box"/>
        <c:axId val="174512768"/>
        <c:axId val="174514944"/>
        <c:axId val="0"/>
      </c:bar3DChart>
      <c:catAx>
        <c:axId val="174512768"/>
        <c:scaling>
          <c:orientation val="minMax"/>
        </c:scaling>
        <c:delete val="1"/>
        <c:axPos val="b"/>
        <c:title>
          <c:tx>
            <c:rich>
              <a:bodyPr/>
              <a:lstStyle/>
              <a:p>
                <a:pPr>
                  <a:defRPr/>
                </a:pPr>
                <a:r>
                  <a:rPr lang="en-US" altLang="ja-JP" sz="800" b="0"/>
                  <a:t>Exports</a:t>
                </a:r>
                <a:endParaRPr lang="ja-JP" altLang="en-US" sz="800" b="0"/>
              </a:p>
            </c:rich>
          </c:tx>
          <c:layout>
            <c:manualLayout>
              <c:xMode val="edge"/>
              <c:yMode val="edge"/>
              <c:x val="0.22089063867016623"/>
              <c:y val="0.90937518226888425"/>
            </c:manualLayout>
          </c:layout>
          <c:overlay val="0"/>
        </c:title>
        <c:numFmt formatCode="General" sourceLinked="1"/>
        <c:majorTickMark val="none"/>
        <c:minorTickMark val="none"/>
        <c:tickLblPos val="none"/>
        <c:crossAx val="174514944"/>
        <c:crosses val="autoZero"/>
        <c:auto val="1"/>
        <c:lblAlgn val="ctr"/>
        <c:lblOffset val="100"/>
        <c:noMultiLvlLbl val="0"/>
      </c:catAx>
      <c:valAx>
        <c:axId val="174514944"/>
        <c:scaling>
          <c:orientation val="minMax"/>
        </c:scaling>
        <c:delete val="0"/>
        <c:axPos val="l"/>
        <c:majorGridlines/>
        <c:numFmt formatCode="General" sourceLinked="1"/>
        <c:majorTickMark val="none"/>
        <c:minorTickMark val="none"/>
        <c:tickLblPos val="nextTo"/>
        <c:crossAx val="17451276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b="0"/>
              <a:t>政府の財政収支</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296062992125985"/>
          <c:y val="0.17732648002333082"/>
          <c:w val="0.70708245844269468"/>
          <c:h val="0.73423592884222677"/>
        </c:manualLayout>
      </c:layout>
      <c:bar3DChart>
        <c:barDir val="col"/>
        <c:grouping val="clustered"/>
        <c:varyColors val="0"/>
        <c:ser>
          <c:idx val="0"/>
          <c:order val="0"/>
          <c:tx>
            <c:strRef>
              <c:f>Hoja1!$J$5</c:f>
              <c:strCache>
                <c:ptCount val="1"/>
                <c:pt idx="0">
                  <c:v>歳入</c:v>
                </c:pt>
              </c:strCache>
            </c:strRef>
          </c:tx>
          <c:invertIfNegative val="0"/>
          <c:cat>
            <c:numRef>
              <c:f>Hoja1!$K$4:$M$4</c:f>
              <c:numCache>
                <c:formatCode>General</c:formatCode>
                <c:ptCount val="3"/>
                <c:pt idx="0">
                  <c:v>2010</c:v>
                </c:pt>
                <c:pt idx="1">
                  <c:v>2011</c:v>
                </c:pt>
                <c:pt idx="2">
                  <c:v>2012</c:v>
                </c:pt>
              </c:numCache>
            </c:numRef>
          </c:cat>
          <c:val>
            <c:numRef>
              <c:f>Hoja1!$K$5:$M$5</c:f>
              <c:numCache>
                <c:formatCode>#,##0.0_ </c:formatCode>
                <c:ptCount val="3"/>
                <c:pt idx="0">
                  <c:v>2672.4</c:v>
                </c:pt>
                <c:pt idx="1">
                  <c:v>3009.2</c:v>
                </c:pt>
                <c:pt idx="2">
                  <c:v>3089.7</c:v>
                </c:pt>
              </c:numCache>
            </c:numRef>
          </c:val>
        </c:ser>
        <c:ser>
          <c:idx val="1"/>
          <c:order val="1"/>
          <c:tx>
            <c:strRef>
              <c:f>Hoja1!$J$6</c:f>
              <c:strCache>
                <c:ptCount val="1"/>
                <c:pt idx="0">
                  <c:v>歳出</c:v>
                </c:pt>
              </c:strCache>
            </c:strRef>
          </c:tx>
          <c:invertIfNegative val="0"/>
          <c:cat>
            <c:numRef>
              <c:f>Hoja1!$K$4:$M$4</c:f>
              <c:numCache>
                <c:formatCode>General</c:formatCode>
                <c:ptCount val="3"/>
                <c:pt idx="0">
                  <c:v>2010</c:v>
                </c:pt>
                <c:pt idx="1">
                  <c:v>2011</c:v>
                </c:pt>
                <c:pt idx="2">
                  <c:v>2012</c:v>
                </c:pt>
              </c:numCache>
            </c:numRef>
          </c:cat>
          <c:val>
            <c:numRef>
              <c:f>Hoja1!$K$6:$M$6</c:f>
              <c:numCache>
                <c:formatCode>#,##0.0_ </c:formatCode>
                <c:ptCount val="3"/>
                <c:pt idx="0">
                  <c:v>3411.8</c:v>
                </c:pt>
                <c:pt idx="1">
                  <c:v>3817.9</c:v>
                </c:pt>
                <c:pt idx="2">
                  <c:v>4201.1000000000004</c:v>
                </c:pt>
              </c:numCache>
            </c:numRef>
          </c:val>
        </c:ser>
        <c:ser>
          <c:idx val="2"/>
          <c:order val="2"/>
          <c:tx>
            <c:strRef>
              <c:f>Hoja1!$J$7</c:f>
              <c:strCache>
                <c:ptCount val="1"/>
                <c:pt idx="0">
                  <c:v>収支</c:v>
                </c:pt>
              </c:strCache>
            </c:strRef>
          </c:tx>
          <c:invertIfNegative val="0"/>
          <c:dLbls>
            <c:dLbl>
              <c:idx val="0"/>
              <c:tx>
                <c:rich>
                  <a:bodyPr/>
                  <a:lstStyle/>
                  <a:p>
                    <a:r>
                      <a:rPr lang="en-US" altLang="en-US"/>
                      <a:t>-4.7%</a:t>
                    </a:r>
                  </a:p>
                </c:rich>
              </c:tx>
              <c:showLegendKey val="0"/>
              <c:showVal val="1"/>
              <c:showCatName val="0"/>
              <c:showSerName val="0"/>
              <c:showPercent val="0"/>
              <c:showBubbleSize val="0"/>
            </c:dLbl>
            <c:dLbl>
              <c:idx val="1"/>
              <c:tx>
                <c:rich>
                  <a:bodyPr/>
                  <a:lstStyle/>
                  <a:p>
                    <a:r>
                      <a:rPr lang="en-US" altLang="en-US"/>
                      <a:t>-4.6%</a:t>
                    </a:r>
                  </a:p>
                </c:rich>
              </c:tx>
              <c:showLegendKey val="0"/>
              <c:showVal val="1"/>
              <c:showCatName val="0"/>
              <c:showSerName val="0"/>
              <c:showPercent val="0"/>
              <c:showBubbleSize val="0"/>
            </c:dLbl>
            <c:dLbl>
              <c:idx val="2"/>
              <c:tx>
                <c:rich>
                  <a:bodyPr/>
                  <a:lstStyle/>
                  <a:p>
                    <a:r>
                      <a:rPr lang="en-US" altLang="en-US"/>
                      <a:t>-6.0%</a:t>
                    </a:r>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Hoja1!$K$4:$M$4</c:f>
              <c:numCache>
                <c:formatCode>General</c:formatCode>
                <c:ptCount val="3"/>
                <c:pt idx="0">
                  <c:v>2010</c:v>
                </c:pt>
                <c:pt idx="1">
                  <c:v>2011</c:v>
                </c:pt>
                <c:pt idx="2">
                  <c:v>2012</c:v>
                </c:pt>
              </c:numCache>
            </c:numRef>
          </c:cat>
          <c:val>
            <c:numRef>
              <c:f>Hoja1!$K$7:$M$7</c:f>
              <c:numCache>
                <c:formatCode>#,##0.0_ </c:formatCode>
                <c:ptCount val="3"/>
                <c:pt idx="0">
                  <c:v>-739.4</c:v>
                </c:pt>
                <c:pt idx="1">
                  <c:v>-808.7</c:v>
                </c:pt>
                <c:pt idx="2">
                  <c:v>-1111.4000000000001</c:v>
                </c:pt>
              </c:numCache>
            </c:numRef>
          </c:val>
        </c:ser>
        <c:dLbls>
          <c:showLegendKey val="0"/>
          <c:showVal val="1"/>
          <c:showCatName val="0"/>
          <c:showSerName val="0"/>
          <c:showPercent val="0"/>
          <c:showBubbleSize val="0"/>
        </c:dLbls>
        <c:gapWidth val="150"/>
        <c:shape val="box"/>
        <c:axId val="184432128"/>
        <c:axId val="184437376"/>
        <c:axId val="0"/>
      </c:bar3DChart>
      <c:catAx>
        <c:axId val="184432128"/>
        <c:scaling>
          <c:orientation val="minMax"/>
        </c:scaling>
        <c:delete val="1"/>
        <c:axPos val="b"/>
        <c:numFmt formatCode="General" sourceLinked="1"/>
        <c:majorTickMark val="none"/>
        <c:minorTickMark val="none"/>
        <c:tickLblPos val="none"/>
        <c:crossAx val="184437376"/>
        <c:crosses val="autoZero"/>
        <c:auto val="1"/>
        <c:lblAlgn val="ctr"/>
        <c:lblOffset val="100"/>
        <c:noMultiLvlLbl val="0"/>
      </c:catAx>
      <c:valAx>
        <c:axId val="184437376"/>
        <c:scaling>
          <c:orientation val="minMax"/>
        </c:scaling>
        <c:delete val="0"/>
        <c:axPos val="l"/>
        <c:majorGridlines/>
        <c:numFmt formatCode="#,##0.0_ " sourceLinked="1"/>
        <c:majorTickMark val="none"/>
        <c:minorTickMark val="none"/>
        <c:tickLblPos val="nextTo"/>
        <c:crossAx val="18443212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ja-JP" altLang="en-US" sz="1400" b="0"/>
              <a:t>本国送金</a:t>
            </a:r>
            <a:endParaRPr lang="en-US" altLang="en-US" sz="1400" b="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Hoja1!$L$112</c:f>
              <c:strCache>
                <c:ptCount val="1"/>
              </c:strCache>
            </c:strRef>
          </c:tx>
          <c:invertIfNegative val="0"/>
          <c:cat>
            <c:numRef>
              <c:f>Hoja1!$M$111:$O$111</c:f>
              <c:numCache>
                <c:formatCode>General</c:formatCode>
                <c:ptCount val="3"/>
                <c:pt idx="0">
                  <c:v>2010</c:v>
                </c:pt>
                <c:pt idx="1">
                  <c:v>2011</c:v>
                </c:pt>
                <c:pt idx="2">
                  <c:v>2012</c:v>
                </c:pt>
              </c:numCache>
            </c:numRef>
          </c:cat>
          <c:val>
            <c:numRef>
              <c:f>Hoja1!$M$112:$O$112</c:f>
              <c:numCache>
                <c:formatCode>#,##0.0_ </c:formatCode>
                <c:ptCount val="3"/>
                <c:pt idx="0">
                  <c:v>2609.1999999999998</c:v>
                </c:pt>
                <c:pt idx="1">
                  <c:v>2797.6</c:v>
                </c:pt>
                <c:pt idx="2">
                  <c:v>2893.9</c:v>
                </c:pt>
              </c:numCache>
            </c:numRef>
          </c:val>
        </c:ser>
        <c:dLbls>
          <c:showLegendKey val="0"/>
          <c:showVal val="1"/>
          <c:showCatName val="0"/>
          <c:showSerName val="0"/>
          <c:showPercent val="0"/>
          <c:showBubbleSize val="0"/>
        </c:dLbls>
        <c:gapWidth val="150"/>
        <c:shape val="box"/>
        <c:axId val="184464896"/>
        <c:axId val="184466432"/>
        <c:axId val="0"/>
      </c:bar3DChart>
      <c:catAx>
        <c:axId val="184464896"/>
        <c:scaling>
          <c:orientation val="minMax"/>
        </c:scaling>
        <c:delete val="0"/>
        <c:axPos val="b"/>
        <c:numFmt formatCode="General" sourceLinked="1"/>
        <c:majorTickMark val="none"/>
        <c:minorTickMark val="none"/>
        <c:tickLblPos val="nextTo"/>
        <c:crossAx val="184466432"/>
        <c:crosses val="autoZero"/>
        <c:auto val="1"/>
        <c:lblAlgn val="ctr"/>
        <c:lblOffset val="100"/>
        <c:noMultiLvlLbl val="0"/>
      </c:catAx>
      <c:valAx>
        <c:axId val="184466432"/>
        <c:scaling>
          <c:orientation val="minMax"/>
        </c:scaling>
        <c:delete val="0"/>
        <c:axPos val="l"/>
        <c:majorGridlines/>
        <c:numFmt formatCode="#,##0.0_ " sourceLinked="1"/>
        <c:majorTickMark val="none"/>
        <c:minorTickMark val="none"/>
        <c:tickLblPos val="nextTo"/>
        <c:crossAx val="184464896"/>
        <c:crosses val="autoZero"/>
        <c:crossBetween val="between"/>
      </c:valAx>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ja-JP" altLang="en-US" sz="1200" b="0"/>
              <a:t>外貨準備高</a:t>
            </a:r>
            <a:endParaRPr lang="en-US" sz="1200" b="0"/>
          </a:p>
        </c:rich>
      </c:tx>
      <c:overlay val="0"/>
    </c:title>
    <c:autoTitleDeleted val="0"/>
    <c:plotArea>
      <c:layout/>
      <c:lineChart>
        <c:grouping val="standard"/>
        <c:varyColors val="0"/>
        <c:ser>
          <c:idx val="0"/>
          <c:order val="0"/>
          <c:tx>
            <c:strRef>
              <c:f>Hoja1!$D$309</c:f>
              <c:strCache>
                <c:ptCount val="1"/>
                <c:pt idx="0">
                  <c:v>Net International Reserves Feb-Nov 2010 (US$ Mn)</c:v>
                </c:pt>
              </c:strCache>
            </c:strRef>
          </c:tx>
          <c:dLbls>
            <c:dLbl>
              <c:idx val="0"/>
              <c:layout>
                <c:manualLayout>
                  <c:x val="-5.5371313879882672E-2"/>
                  <c:y val="3.2407407407407843E-2"/>
                </c:manualLayout>
              </c:layout>
              <c:showLegendKey val="0"/>
              <c:showVal val="1"/>
              <c:showCatName val="0"/>
              <c:showSerName val="0"/>
              <c:showPercent val="0"/>
              <c:showBubbleSize val="0"/>
            </c:dLbl>
            <c:dLbl>
              <c:idx val="1"/>
              <c:layout>
                <c:manualLayout>
                  <c:x val="-4.0795750204427092E-2"/>
                  <c:y val="3.2407407407407843E-2"/>
                </c:manualLayout>
              </c:layout>
              <c:showLegendKey val="0"/>
              <c:showVal val="1"/>
              <c:showCatName val="0"/>
              <c:showSerName val="0"/>
              <c:showPercent val="0"/>
              <c:showBubbleSize val="0"/>
            </c:dLbl>
            <c:dLbl>
              <c:idx val="2"/>
              <c:layout>
                <c:manualLayout>
                  <c:x val="-5.8327186225904798E-2"/>
                  <c:y val="-2.7777777777778335E-2"/>
                </c:manualLayout>
              </c:layout>
              <c:showLegendKey val="0"/>
              <c:showVal val="1"/>
              <c:showCatName val="0"/>
              <c:showSerName val="0"/>
              <c:showPercent val="0"/>
              <c:showBubbleSize val="0"/>
            </c:dLbl>
            <c:dLbl>
              <c:idx val="3"/>
              <c:layout>
                <c:manualLayout>
                  <c:x val="-4.6860972443804001E-2"/>
                  <c:y val="-2.7778142315544225E-2"/>
                </c:manualLayout>
              </c:layout>
              <c:showLegendKey val="0"/>
              <c:showVal val="1"/>
              <c:showCatName val="0"/>
              <c:showSerName val="0"/>
              <c:showPercent val="0"/>
              <c:showBubbleSize val="0"/>
            </c:dLbl>
            <c:dLbl>
              <c:idx val="4"/>
              <c:layout>
                <c:manualLayout>
                  <c:x val="-5.2670703743731402E-2"/>
                  <c:y val="-4.1666666666666664E-2"/>
                </c:manualLayout>
              </c:layout>
              <c:showLegendKey val="0"/>
              <c:showVal val="1"/>
              <c:showCatName val="0"/>
              <c:showSerName val="0"/>
              <c:showPercent val="0"/>
              <c:showBubbleSize val="0"/>
            </c:dLbl>
            <c:dLbl>
              <c:idx val="5"/>
              <c:layout>
                <c:manualLayout>
                  <c:x val="-3.5164885435072249E-2"/>
                  <c:y val="-4.1666666666666664E-2"/>
                </c:manualLayout>
              </c:layout>
              <c:showLegendKey val="0"/>
              <c:showVal val="1"/>
              <c:showCatName val="0"/>
              <c:showSerName val="0"/>
              <c:showPercent val="0"/>
              <c:showBubbleSize val="0"/>
            </c:dLbl>
            <c:dLbl>
              <c:idx val="6"/>
              <c:layout>
                <c:manualLayout>
                  <c:x val="-4.9816844789826134E-2"/>
                  <c:y val="1.3888524351122956E-2"/>
                </c:manualLayout>
              </c:layout>
              <c:showLegendKey val="0"/>
              <c:showVal val="1"/>
              <c:showCatName val="0"/>
              <c:showSerName val="0"/>
              <c:showPercent val="0"/>
              <c:showBubbleSize val="0"/>
            </c:dLbl>
            <c:dLbl>
              <c:idx val="7"/>
              <c:layout>
                <c:manualLayout>
                  <c:x val="-4.3956043956044133E-2"/>
                  <c:y val="2.7777777777778571E-2"/>
                </c:manualLayout>
              </c:layout>
              <c:showLegendKey val="0"/>
              <c:showVal val="1"/>
              <c:showCatName val="0"/>
              <c:showSerName val="0"/>
              <c:showPercent val="0"/>
              <c:showBubbleSize val="0"/>
            </c:dLbl>
            <c:dLbl>
              <c:idx val="8"/>
              <c:layout>
                <c:manualLayout>
                  <c:x val="-5.8327186225904784E-2"/>
                  <c:y val="2.7777777777777912E-2"/>
                </c:manualLayout>
              </c:layout>
              <c:showLegendKey val="0"/>
              <c:showVal val="1"/>
              <c:showCatName val="0"/>
              <c:showSerName val="0"/>
              <c:showPercent val="0"/>
              <c:showBubbleSize val="0"/>
            </c:dLbl>
            <c:dLbl>
              <c:idx val="9"/>
              <c:layout>
                <c:manualLayout>
                  <c:x val="-4.9382716049382921E-2"/>
                  <c:y val="3.7036672499271076E-2"/>
                </c:manualLayout>
              </c:layout>
              <c:showLegendKey val="0"/>
              <c:showVal val="1"/>
              <c:showCatName val="0"/>
              <c:showSerName val="0"/>
              <c:showPercent val="0"/>
              <c:showBubbleSize val="0"/>
            </c:dLbl>
            <c:dLbl>
              <c:idx val="10"/>
              <c:layout>
                <c:manualLayout>
                  <c:x val="-4.3572984749455403E-2"/>
                  <c:y val="2.7777777777777912E-2"/>
                </c:manualLayout>
              </c:layout>
              <c:showLegendKey val="0"/>
              <c:showVal val="1"/>
              <c:showCatName val="0"/>
              <c:showSerName val="0"/>
              <c:showPercent val="0"/>
              <c:showBubbleSize val="0"/>
            </c:dLbl>
            <c:dLbl>
              <c:idx val="11"/>
              <c:layout>
                <c:manualLayout>
                  <c:x val="-4.6477850399418957E-2"/>
                  <c:y val="2.7777777777777912E-2"/>
                </c:manualLayout>
              </c:layout>
              <c:showLegendKey val="0"/>
              <c:showVal val="1"/>
              <c:showCatName val="0"/>
              <c:showSerName val="0"/>
              <c:showPercent val="0"/>
              <c:showBubbleSize val="0"/>
            </c:dLbl>
            <c:dLbl>
              <c:idx val="12"/>
              <c:layout>
                <c:manualLayout>
                  <c:x val="-2.63738571140151E-2"/>
                  <c:y val="-2.3148148148148147E-2"/>
                </c:manualLayout>
              </c:layout>
              <c:showLegendKey val="0"/>
              <c:showVal val="1"/>
              <c:showCatName val="0"/>
              <c:showSerName val="0"/>
              <c:showPercent val="0"/>
              <c:showBubbleSize val="0"/>
            </c:dLbl>
            <c:txPr>
              <a:bodyPr/>
              <a:lstStyle/>
              <a:p>
                <a:pPr>
                  <a:defRPr sz="800"/>
                </a:pPr>
                <a:endParaRPr lang="ja-JP"/>
              </a:p>
            </c:txPr>
            <c:showLegendKey val="0"/>
            <c:showVal val="1"/>
            <c:showCatName val="0"/>
            <c:showSerName val="0"/>
            <c:showPercent val="0"/>
            <c:showBubbleSize val="0"/>
            <c:showLeaderLines val="0"/>
          </c:dLbls>
          <c:cat>
            <c:strRef>
              <c:f>Hoja1!$C$321:$C$333</c:f>
              <c:strCache>
                <c:ptCount val="13"/>
                <c:pt idx="0">
                  <c:v>dec-11</c:v>
                </c:pt>
                <c:pt idx="1">
                  <c:v>jan-12</c:v>
                </c:pt>
                <c:pt idx="2">
                  <c:v>Feb-12</c:v>
                </c:pt>
                <c:pt idx="3">
                  <c:v>Mar-12</c:v>
                </c:pt>
                <c:pt idx="4">
                  <c:v>apr-12</c:v>
                </c:pt>
                <c:pt idx="5">
                  <c:v>May-12</c:v>
                </c:pt>
                <c:pt idx="6">
                  <c:v>Jun-12</c:v>
                </c:pt>
                <c:pt idx="7">
                  <c:v>Jul-12</c:v>
                </c:pt>
                <c:pt idx="8">
                  <c:v>aug-12</c:v>
                </c:pt>
                <c:pt idx="9">
                  <c:v>Sep-12</c:v>
                </c:pt>
                <c:pt idx="10">
                  <c:v>Oct-12</c:v>
                </c:pt>
                <c:pt idx="11">
                  <c:v>Nov-12</c:v>
                </c:pt>
                <c:pt idx="12">
                  <c:v>dec-12</c:v>
                </c:pt>
              </c:strCache>
            </c:strRef>
          </c:cat>
          <c:val>
            <c:numRef>
              <c:f>Hoja1!$D$321:$D$333</c:f>
              <c:numCache>
                <c:formatCode>#,##0</c:formatCode>
                <c:ptCount val="13"/>
                <c:pt idx="0">
                  <c:v>2820</c:v>
                </c:pt>
                <c:pt idx="1">
                  <c:v>2890</c:v>
                </c:pt>
                <c:pt idx="2">
                  <c:v>3034</c:v>
                </c:pt>
                <c:pt idx="3">
                  <c:v>3082</c:v>
                </c:pt>
                <c:pt idx="4">
                  <c:v>2978</c:v>
                </c:pt>
                <c:pt idx="5">
                  <c:v>2861</c:v>
                </c:pt>
                <c:pt idx="6">
                  <c:v>2796</c:v>
                </c:pt>
                <c:pt idx="7">
                  <c:v>2689</c:v>
                </c:pt>
                <c:pt idx="8">
                  <c:v>2506</c:v>
                </c:pt>
                <c:pt idx="9">
                  <c:v>2442</c:v>
                </c:pt>
                <c:pt idx="10">
                  <c:v>2399</c:v>
                </c:pt>
                <c:pt idx="11">
                  <c:v>2376</c:v>
                </c:pt>
                <c:pt idx="12">
                  <c:v>2571</c:v>
                </c:pt>
              </c:numCache>
            </c:numRef>
          </c:val>
          <c:smooth val="0"/>
        </c:ser>
        <c:dLbls>
          <c:showLegendKey val="0"/>
          <c:showVal val="0"/>
          <c:showCatName val="0"/>
          <c:showSerName val="0"/>
          <c:showPercent val="0"/>
          <c:showBubbleSize val="0"/>
        </c:dLbls>
        <c:marker val="1"/>
        <c:smooth val="0"/>
        <c:axId val="184479104"/>
        <c:axId val="215749760"/>
      </c:lineChart>
      <c:catAx>
        <c:axId val="184479104"/>
        <c:scaling>
          <c:orientation val="minMax"/>
        </c:scaling>
        <c:delete val="0"/>
        <c:axPos val="b"/>
        <c:majorTickMark val="out"/>
        <c:minorTickMark val="none"/>
        <c:tickLblPos val="nextTo"/>
        <c:txPr>
          <a:bodyPr/>
          <a:lstStyle/>
          <a:p>
            <a:pPr>
              <a:defRPr sz="800"/>
            </a:pPr>
            <a:endParaRPr lang="ja-JP"/>
          </a:p>
        </c:txPr>
        <c:crossAx val="215749760"/>
        <c:crosses val="autoZero"/>
        <c:auto val="1"/>
        <c:lblAlgn val="ctr"/>
        <c:lblOffset val="100"/>
        <c:noMultiLvlLbl val="0"/>
      </c:catAx>
      <c:valAx>
        <c:axId val="215749760"/>
        <c:scaling>
          <c:orientation val="minMax"/>
          <c:min val="2300"/>
        </c:scaling>
        <c:delete val="0"/>
        <c:axPos val="l"/>
        <c:majorGridlines/>
        <c:numFmt formatCode="#,##0" sourceLinked="1"/>
        <c:majorTickMark val="out"/>
        <c:minorTickMark val="none"/>
        <c:tickLblPos val="nextTo"/>
        <c:txPr>
          <a:bodyPr/>
          <a:lstStyle/>
          <a:p>
            <a:pPr>
              <a:defRPr sz="800"/>
            </a:pPr>
            <a:endParaRPr lang="ja-JP"/>
          </a:p>
        </c:txPr>
        <c:crossAx val="184479104"/>
        <c:crosses val="autoZero"/>
        <c:crossBetween val="between"/>
      </c:valAx>
    </c:plotArea>
    <c:plotVisOnly val="1"/>
    <c:dispBlanksAs val="gap"/>
    <c:showDLblsOverMax val="0"/>
  </c:chart>
  <c:externalData r:id="rId1">
    <c:autoUpdate val="0"/>
  </c:externalData>
  <c:userShapes r:id="rId2"/>
</c:chartSpace>
</file>

<file path=word/drawings/_rels/drawing14.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0.37083</cdr:x>
      <cdr:y>0.90119</cdr:y>
    </cdr:from>
    <cdr:to>
      <cdr:x>0.51705</cdr:x>
      <cdr:y>0.95833</cdr:y>
    </cdr:to>
    <cdr:sp macro="" textlink="">
      <cdr:nvSpPr>
        <cdr:cNvPr id="2" name="テキスト ボックス 1"/>
        <cdr:cNvSpPr txBox="1"/>
      </cdr:nvSpPr>
      <cdr:spPr>
        <a:xfrm xmlns:a="http://schemas.openxmlformats.org/drawingml/2006/main">
          <a:off x="1699146" y="2452743"/>
          <a:ext cx="670001" cy="1555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Dec-10</a:t>
          </a:r>
          <a:endParaRPr lang="ja-JP" altLang="en-US" sz="800"/>
        </a:p>
      </cdr:txBody>
    </cdr:sp>
  </cdr:relSizeAnchor>
  <cdr:relSizeAnchor xmlns:cdr="http://schemas.openxmlformats.org/drawingml/2006/chartDrawing">
    <cdr:from>
      <cdr:x>0.59375</cdr:x>
      <cdr:y>0.89328</cdr:y>
    </cdr:from>
    <cdr:to>
      <cdr:x>0.74949</cdr:x>
      <cdr:y>0.95833</cdr:y>
    </cdr:to>
    <cdr:sp macro="" textlink="">
      <cdr:nvSpPr>
        <cdr:cNvPr id="3" name="テキスト ボックス 2"/>
        <cdr:cNvSpPr txBox="1"/>
      </cdr:nvSpPr>
      <cdr:spPr>
        <a:xfrm xmlns:a="http://schemas.openxmlformats.org/drawingml/2006/main">
          <a:off x="2720568" y="2431229"/>
          <a:ext cx="713587" cy="1770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Dec-11</a:t>
          </a:r>
          <a:endParaRPr lang="ja-JP" altLang="en-US" sz="800"/>
        </a:p>
      </cdr:txBody>
    </cdr:sp>
  </cdr:relSizeAnchor>
  <cdr:relSizeAnchor xmlns:cdr="http://schemas.openxmlformats.org/drawingml/2006/chartDrawing">
    <cdr:from>
      <cdr:x>0.82292</cdr:x>
      <cdr:y>0.89723</cdr:y>
    </cdr:from>
    <cdr:to>
      <cdr:x>0.98427</cdr:x>
      <cdr:y>0.97569</cdr:y>
    </cdr:to>
    <cdr:sp macro="" textlink="">
      <cdr:nvSpPr>
        <cdr:cNvPr id="4" name="テキスト ボックス 3"/>
        <cdr:cNvSpPr txBox="1"/>
      </cdr:nvSpPr>
      <cdr:spPr>
        <a:xfrm xmlns:a="http://schemas.openxmlformats.org/drawingml/2006/main">
          <a:off x="3770627" y="2441986"/>
          <a:ext cx="739291" cy="2135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Dec-12</a:t>
          </a:r>
          <a:endParaRPr lang="ja-JP" altLang="en-US" sz="800"/>
        </a:p>
      </cdr:txBody>
    </cdr:sp>
  </cdr:relSizeAnchor>
  <cdr:relSizeAnchor xmlns:cdr="http://schemas.openxmlformats.org/drawingml/2006/chartDrawing">
    <cdr:from>
      <cdr:x>0.00417</cdr:x>
      <cdr:y>0.02778</cdr:y>
    </cdr:from>
    <cdr:to>
      <cdr:x>0.09375</cdr:x>
      <cdr:y>0.11111</cdr:y>
    </cdr:to>
    <cdr:sp macro="" textlink="">
      <cdr:nvSpPr>
        <cdr:cNvPr id="5" name="テキスト ボックス 4"/>
        <cdr:cNvSpPr txBox="1"/>
      </cdr:nvSpPr>
      <cdr:spPr>
        <a:xfrm xmlns:a="http://schemas.openxmlformats.org/drawingml/2006/main">
          <a:off x="19050" y="76200"/>
          <a:ext cx="40957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a:t>
          </a:r>
          <a:endParaRPr lang="ja-JP" altLang="en-US" sz="800"/>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0.03667</cdr:y>
    </cdr:from>
    <cdr:to>
      <cdr:x>0.14804</cdr:x>
      <cdr:y>0.12</cdr:y>
    </cdr:to>
    <cdr:sp macro="" textlink="">
      <cdr:nvSpPr>
        <cdr:cNvPr id="2" name="テキスト ボックス 1"/>
        <cdr:cNvSpPr txBox="1"/>
      </cdr:nvSpPr>
      <cdr:spPr>
        <a:xfrm xmlns:a="http://schemas.openxmlformats.org/drawingml/2006/main">
          <a:off x="0" y="104774"/>
          <a:ext cx="9334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(10</a:t>
          </a:r>
          <a:r>
            <a:rPr lang="ja-JP" altLang="en-US" sz="800"/>
            <a:t>億米ドル</a:t>
          </a:r>
          <a:r>
            <a:rPr lang="en-US" altLang="ja-JP" sz="800"/>
            <a:t>)</a:t>
          </a:r>
          <a:endParaRPr lang="ja-JP" altLang="en-US" sz="800"/>
        </a:p>
      </cdr:txBody>
    </cdr:sp>
  </cdr:relSizeAnchor>
  <cdr:relSizeAnchor xmlns:cdr="http://schemas.openxmlformats.org/drawingml/2006/chartDrawing">
    <cdr:from>
      <cdr:x>0.4394</cdr:x>
      <cdr:y>0.92214</cdr:y>
    </cdr:from>
    <cdr:to>
      <cdr:x>0.66175</cdr:x>
      <cdr:y>0.99828</cdr:y>
    </cdr:to>
    <cdr:sp macro="" textlink="">
      <cdr:nvSpPr>
        <cdr:cNvPr id="3" name="テキスト ボックス 2"/>
        <cdr:cNvSpPr txBox="1"/>
      </cdr:nvSpPr>
      <cdr:spPr>
        <a:xfrm xmlns:a="http://schemas.openxmlformats.org/drawingml/2006/main">
          <a:off x="2465966" y="2345167"/>
          <a:ext cx="1247887" cy="1936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700"/>
            <a:t>レンピーラ</a:t>
          </a:r>
          <a:r>
            <a:rPr lang="en-US" altLang="ja-JP" sz="700"/>
            <a:t>(</a:t>
          </a:r>
          <a:r>
            <a:rPr lang="ja-JP" altLang="en-US" sz="700"/>
            <a:t>米ドル換算</a:t>
          </a:r>
          <a:r>
            <a:rPr lang="en-US" altLang="ja-JP" sz="700"/>
            <a:t>)</a:t>
          </a:r>
          <a:endParaRPr lang="ja-JP" altLang="en-US" sz="700"/>
        </a:p>
      </cdr:txBody>
    </cdr:sp>
  </cdr:relSizeAnchor>
  <cdr:relSizeAnchor xmlns:cdr="http://schemas.openxmlformats.org/drawingml/2006/chartDrawing">
    <cdr:from>
      <cdr:x>0.71159</cdr:x>
      <cdr:y>0.92637</cdr:y>
    </cdr:from>
    <cdr:to>
      <cdr:x>0.80935</cdr:x>
      <cdr:y>0.99828</cdr:y>
    </cdr:to>
    <cdr:sp macro="" textlink="">
      <cdr:nvSpPr>
        <cdr:cNvPr id="4" name="テキスト ボックス 3"/>
        <cdr:cNvSpPr txBox="1"/>
      </cdr:nvSpPr>
      <cdr:spPr>
        <a:xfrm xmlns:a="http://schemas.openxmlformats.org/drawingml/2006/main">
          <a:off x="3993552" y="2355925"/>
          <a:ext cx="548640" cy="1828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700"/>
            <a:t>外貨</a:t>
          </a:r>
          <a:endParaRPr lang="en-US" altLang="ja-JP" sz="700"/>
        </a:p>
        <a:p xmlns:a="http://schemas.openxmlformats.org/drawingml/2006/main">
          <a:endParaRPr lang="ja-JP" altLang="en-US" sz="700"/>
        </a:p>
      </cdr:txBody>
    </cdr:sp>
  </cdr:relSizeAnchor>
</c:userShapes>
</file>

<file path=word/drawings/drawing11.xml><?xml version="1.0" encoding="utf-8"?>
<c:userShapes xmlns:c="http://schemas.openxmlformats.org/drawingml/2006/chart">
  <cdr:relSizeAnchor xmlns:cdr="http://schemas.openxmlformats.org/drawingml/2006/chartDrawing">
    <cdr:from>
      <cdr:x>0.01458</cdr:x>
      <cdr:y>0.03819</cdr:y>
    </cdr:from>
    <cdr:to>
      <cdr:x>0.09375</cdr:x>
      <cdr:y>0.14236</cdr:y>
    </cdr:to>
    <cdr:sp macro="" textlink="">
      <cdr:nvSpPr>
        <cdr:cNvPr id="2" name="テキスト ボックス 1"/>
        <cdr:cNvSpPr txBox="1"/>
      </cdr:nvSpPr>
      <cdr:spPr>
        <a:xfrm xmlns:a="http://schemas.openxmlformats.org/drawingml/2006/main">
          <a:off x="66675" y="104775"/>
          <a:ext cx="3619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a:t>
          </a:r>
          <a:r>
            <a:rPr lang="ja-JP" altLang="en-US" sz="800"/>
            <a:t>％</a:t>
          </a:r>
          <a:r>
            <a:rPr lang="en-US" altLang="ja-JP" sz="800"/>
            <a:t>)</a:t>
          </a:r>
          <a:endParaRPr lang="ja-JP" altLang="en-US" sz="800"/>
        </a:p>
      </cdr:txBody>
    </cdr:sp>
  </cdr:relSizeAnchor>
</c:userShapes>
</file>

<file path=word/drawings/drawing12.xml><?xml version="1.0" encoding="utf-8"?>
<c:userShapes xmlns:c="http://schemas.openxmlformats.org/drawingml/2006/chart">
  <cdr:relSizeAnchor xmlns:cdr="http://schemas.openxmlformats.org/drawingml/2006/chartDrawing">
    <cdr:from>
      <cdr:x>0.03792</cdr:x>
      <cdr:y>0.05556</cdr:y>
    </cdr:from>
    <cdr:to>
      <cdr:x>0.04792</cdr:x>
      <cdr:y>0.08681</cdr:y>
    </cdr:to>
    <cdr:sp macro="" textlink="">
      <cdr:nvSpPr>
        <cdr:cNvPr id="2" name="テキスト ボックス 1"/>
        <cdr:cNvSpPr txBox="1"/>
      </cdr:nvSpPr>
      <cdr:spPr>
        <a:xfrm xmlns:a="http://schemas.openxmlformats.org/drawingml/2006/main">
          <a:off x="173356" y="152400"/>
          <a:ext cx="45719" cy="85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userShapes>
</file>

<file path=word/drawings/drawing13.xml><?xml version="1.0" encoding="utf-8"?>
<c:userShapes xmlns:c="http://schemas.openxmlformats.org/drawingml/2006/chart">
  <cdr:relSizeAnchor xmlns:cdr="http://schemas.openxmlformats.org/drawingml/2006/chartDrawing">
    <cdr:from>
      <cdr:x>0.01875</cdr:x>
      <cdr:y>0.13889</cdr:y>
    </cdr:from>
    <cdr:to>
      <cdr:x>0.2</cdr:x>
      <cdr:y>0.22569</cdr:y>
    </cdr:to>
    <cdr:sp macro="" textlink="">
      <cdr:nvSpPr>
        <cdr:cNvPr id="2" name="テキスト ボックス 1"/>
        <cdr:cNvSpPr txBox="1"/>
      </cdr:nvSpPr>
      <cdr:spPr>
        <a:xfrm xmlns:a="http://schemas.openxmlformats.org/drawingml/2006/main">
          <a:off x="85725" y="381000"/>
          <a:ext cx="8286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a:t>
          </a:r>
          <a:r>
            <a:rPr lang="ja-JP" altLang="en-US" sz="800"/>
            <a:t>百万米ドル</a:t>
          </a:r>
          <a:r>
            <a:rPr lang="en-US" altLang="ja-JP" sz="800"/>
            <a:t>)</a:t>
          </a:r>
          <a:endParaRPr lang="ja-JP" altLang="en-US" sz="800"/>
        </a:p>
      </cdr:txBody>
    </cdr:sp>
  </cdr:relSizeAnchor>
</c:userShapes>
</file>

<file path=word/drawings/drawing14.xml><?xml version="1.0" encoding="utf-8"?>
<c:userShapes xmlns:c="http://schemas.openxmlformats.org/drawingml/2006/chart">
  <cdr:relSizeAnchor xmlns:cdr="http://schemas.openxmlformats.org/drawingml/2006/chartDrawing">
    <cdr:from>
      <cdr:x>0</cdr:x>
      <cdr:y>0.11458</cdr:y>
    </cdr:from>
    <cdr:to>
      <cdr:x>0.16001</cdr:x>
      <cdr:y>0.1857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314325"/>
          <a:ext cx="731583" cy="195089"/>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0.01667</cdr:x>
      <cdr:y>0.03125</cdr:y>
    </cdr:from>
    <cdr:to>
      <cdr:x>0.09792</cdr:x>
      <cdr:y>0.14236</cdr:y>
    </cdr:to>
    <cdr:sp macro="" textlink="">
      <cdr:nvSpPr>
        <cdr:cNvPr id="2" name="テキスト ボックス 1"/>
        <cdr:cNvSpPr txBox="1"/>
      </cdr:nvSpPr>
      <cdr:spPr>
        <a:xfrm xmlns:a="http://schemas.openxmlformats.org/drawingml/2006/main">
          <a:off x="76200" y="85725"/>
          <a:ext cx="371475"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a:t>
          </a:r>
          <a:r>
            <a:rPr lang="ja-JP" altLang="en-US" sz="800"/>
            <a:t>％</a:t>
          </a:r>
          <a:r>
            <a:rPr lang="en-US" altLang="ja-JP" sz="800"/>
            <a:t>)</a:t>
          </a:r>
          <a:endParaRPr lang="ja-JP" altLang="en-US" sz="800"/>
        </a:p>
      </cdr:txBody>
    </cdr:sp>
  </cdr:relSizeAnchor>
  <cdr:relSizeAnchor xmlns:cdr="http://schemas.openxmlformats.org/drawingml/2006/chartDrawing">
    <cdr:from>
      <cdr:x>0.0968</cdr:x>
      <cdr:y>0.88412</cdr:y>
    </cdr:from>
    <cdr:to>
      <cdr:x>0.2001</cdr:x>
      <cdr:y>0.94421</cdr:y>
    </cdr:to>
    <cdr:sp macro="" textlink="">
      <cdr:nvSpPr>
        <cdr:cNvPr id="3" name="テキスト ボックス 2"/>
        <cdr:cNvSpPr txBox="1"/>
      </cdr:nvSpPr>
      <cdr:spPr>
        <a:xfrm xmlns:a="http://schemas.openxmlformats.org/drawingml/2006/main">
          <a:off x="443530" y="2216075"/>
          <a:ext cx="473335" cy="1506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2007</a:t>
          </a:r>
          <a:endParaRPr lang="ja-JP" altLang="en-US" sz="800"/>
        </a:p>
      </cdr:txBody>
    </cdr:sp>
  </cdr:relSizeAnchor>
  <cdr:relSizeAnchor xmlns:cdr="http://schemas.openxmlformats.org/drawingml/2006/chartDrawing">
    <cdr:from>
      <cdr:x>0.25645</cdr:x>
      <cdr:y>0.88841</cdr:y>
    </cdr:from>
    <cdr:to>
      <cdr:x>0.35506</cdr:x>
      <cdr:y>0.95708</cdr:y>
    </cdr:to>
    <cdr:sp macro="" textlink="">
      <cdr:nvSpPr>
        <cdr:cNvPr id="4" name="テキスト ボックス 3"/>
        <cdr:cNvSpPr txBox="1"/>
      </cdr:nvSpPr>
      <cdr:spPr>
        <a:xfrm xmlns:a="http://schemas.openxmlformats.org/drawingml/2006/main">
          <a:off x="1175049" y="2226831"/>
          <a:ext cx="451821" cy="1721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2008</a:t>
          </a:r>
          <a:endParaRPr lang="ja-JP" altLang="en-US" sz="800"/>
        </a:p>
      </cdr:txBody>
    </cdr:sp>
  </cdr:relSizeAnchor>
  <cdr:relSizeAnchor xmlns:cdr="http://schemas.openxmlformats.org/drawingml/2006/chartDrawing">
    <cdr:from>
      <cdr:x>0.39966</cdr:x>
      <cdr:y>0.88841</cdr:y>
    </cdr:from>
    <cdr:to>
      <cdr:x>0.49592</cdr:x>
      <cdr:y>0.97854</cdr:y>
    </cdr:to>
    <cdr:sp macro="" textlink="">
      <cdr:nvSpPr>
        <cdr:cNvPr id="5" name="テキスト ボックス 4"/>
        <cdr:cNvSpPr txBox="1"/>
      </cdr:nvSpPr>
      <cdr:spPr>
        <a:xfrm xmlns:a="http://schemas.openxmlformats.org/drawingml/2006/main">
          <a:off x="1831266" y="2226832"/>
          <a:ext cx="441063" cy="2259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2009</a:t>
          </a:r>
          <a:endParaRPr lang="ja-JP" altLang="en-US" sz="800"/>
        </a:p>
      </cdr:txBody>
    </cdr:sp>
  </cdr:relSizeAnchor>
  <cdr:relSizeAnchor xmlns:cdr="http://schemas.openxmlformats.org/drawingml/2006/chartDrawing">
    <cdr:from>
      <cdr:x>0.55697</cdr:x>
      <cdr:y>0.88412</cdr:y>
    </cdr:from>
    <cdr:to>
      <cdr:x>0.64853</cdr:x>
      <cdr:y>0.96137</cdr:y>
    </cdr:to>
    <cdr:sp macro="" textlink="">
      <cdr:nvSpPr>
        <cdr:cNvPr id="6" name="テキスト ボックス 5"/>
        <cdr:cNvSpPr txBox="1"/>
      </cdr:nvSpPr>
      <cdr:spPr>
        <a:xfrm xmlns:a="http://schemas.openxmlformats.org/drawingml/2006/main">
          <a:off x="2552028" y="2216074"/>
          <a:ext cx="419548" cy="1936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2010</a:t>
          </a:r>
          <a:endParaRPr lang="ja-JP" altLang="en-US" sz="800"/>
        </a:p>
      </cdr:txBody>
    </cdr:sp>
  </cdr:relSizeAnchor>
  <cdr:relSizeAnchor xmlns:cdr="http://schemas.openxmlformats.org/drawingml/2006/chartDrawing">
    <cdr:from>
      <cdr:x>0.71427</cdr:x>
      <cdr:y>0.87983</cdr:y>
    </cdr:from>
    <cdr:to>
      <cdr:x>0.81522</cdr:x>
      <cdr:y>0.96996</cdr:y>
    </cdr:to>
    <cdr:sp macro="" textlink="">
      <cdr:nvSpPr>
        <cdr:cNvPr id="7" name="テキスト ボックス 6"/>
        <cdr:cNvSpPr txBox="1"/>
      </cdr:nvSpPr>
      <cdr:spPr>
        <a:xfrm xmlns:a="http://schemas.openxmlformats.org/drawingml/2006/main">
          <a:off x="3272790" y="2205318"/>
          <a:ext cx="462579" cy="2259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2011</a:t>
          </a:r>
          <a:endParaRPr lang="ja-JP" altLang="en-US" sz="800"/>
        </a:p>
      </cdr:txBody>
    </cdr:sp>
  </cdr:relSizeAnchor>
  <cdr:relSizeAnchor xmlns:cdr="http://schemas.openxmlformats.org/drawingml/2006/chartDrawing">
    <cdr:from>
      <cdr:x>0.86453</cdr:x>
      <cdr:y>0.87983</cdr:y>
    </cdr:from>
    <cdr:to>
      <cdr:x>0.95609</cdr:x>
      <cdr:y>0.97854</cdr:y>
    </cdr:to>
    <cdr:sp macro="" textlink="">
      <cdr:nvSpPr>
        <cdr:cNvPr id="8" name="テキスト ボックス 7"/>
        <cdr:cNvSpPr txBox="1"/>
      </cdr:nvSpPr>
      <cdr:spPr>
        <a:xfrm xmlns:a="http://schemas.openxmlformats.org/drawingml/2006/main">
          <a:off x="3961279" y="2205317"/>
          <a:ext cx="419549" cy="2474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2012</a:t>
          </a:r>
          <a:endParaRPr lang="ja-JP" altLang="en-US" sz="800"/>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0.04861</cdr:y>
    </cdr:from>
    <cdr:to>
      <cdr:x>0.1</cdr:x>
      <cdr:y>0.15278</cdr:y>
    </cdr:to>
    <cdr:sp macro="" textlink="">
      <cdr:nvSpPr>
        <cdr:cNvPr id="2" name="テキスト ボックス 1"/>
        <cdr:cNvSpPr txBox="1"/>
      </cdr:nvSpPr>
      <cdr:spPr>
        <a:xfrm xmlns:a="http://schemas.openxmlformats.org/drawingml/2006/main">
          <a:off x="0" y="133350"/>
          <a:ext cx="4572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a:t>
          </a:r>
          <a:r>
            <a:rPr lang="ja-JP" altLang="en-US" sz="800"/>
            <a:t>％</a:t>
          </a:r>
          <a:r>
            <a:rPr lang="en-US" altLang="ja-JP" sz="800"/>
            <a:t>)</a:t>
          </a:r>
          <a:endParaRPr lang="ja-JP" altLang="en-US" sz="800"/>
        </a:p>
      </cdr:txBody>
    </cdr:sp>
  </cdr:relSizeAnchor>
</c:userShapes>
</file>

<file path=word/drawings/drawing4.xml><?xml version="1.0" encoding="utf-8"?>
<c:userShapes xmlns:c="http://schemas.openxmlformats.org/drawingml/2006/chart">
  <cdr:relSizeAnchor xmlns:cdr="http://schemas.openxmlformats.org/drawingml/2006/chartDrawing">
    <cdr:from>
      <cdr:x>0.43542</cdr:x>
      <cdr:y>0.87662</cdr:y>
    </cdr:from>
    <cdr:to>
      <cdr:x>0.55625</cdr:x>
      <cdr:y>0.93506</cdr:y>
    </cdr:to>
    <cdr:sp macro="" textlink="">
      <cdr:nvSpPr>
        <cdr:cNvPr id="2" name="テキスト ボックス 1"/>
        <cdr:cNvSpPr txBox="1"/>
      </cdr:nvSpPr>
      <cdr:spPr>
        <a:xfrm xmlns:a="http://schemas.openxmlformats.org/drawingml/2006/main">
          <a:off x="1990725" y="2571750"/>
          <a:ext cx="55245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Imports</a:t>
          </a:r>
          <a:endParaRPr lang="ja-JP" altLang="en-US" sz="800"/>
        </a:p>
      </cdr:txBody>
    </cdr:sp>
  </cdr:relSizeAnchor>
  <cdr:relSizeAnchor xmlns:cdr="http://schemas.openxmlformats.org/drawingml/2006/chartDrawing">
    <cdr:from>
      <cdr:x>0.62708</cdr:x>
      <cdr:y>0.87662</cdr:y>
    </cdr:from>
    <cdr:to>
      <cdr:x>0.80833</cdr:x>
      <cdr:y>0.92857</cdr:y>
    </cdr:to>
    <cdr:sp macro="" textlink="">
      <cdr:nvSpPr>
        <cdr:cNvPr id="3" name="テキスト ボックス 2"/>
        <cdr:cNvSpPr txBox="1"/>
      </cdr:nvSpPr>
      <cdr:spPr>
        <a:xfrm xmlns:a="http://schemas.openxmlformats.org/drawingml/2006/main">
          <a:off x="2867025" y="2571750"/>
          <a:ext cx="828675" cy="15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Trade Balance</a:t>
          </a:r>
          <a:endParaRPr lang="ja-JP" altLang="en-US" sz="800"/>
        </a:p>
      </cdr:txBody>
    </cdr:sp>
  </cdr:relSizeAnchor>
  <cdr:relSizeAnchor xmlns:cdr="http://schemas.openxmlformats.org/drawingml/2006/chartDrawing">
    <cdr:from>
      <cdr:x>0.01875</cdr:x>
      <cdr:y>0.13312</cdr:y>
    </cdr:from>
    <cdr:to>
      <cdr:x>0.19375</cdr:x>
      <cdr:y>0.21429</cdr:y>
    </cdr:to>
    <cdr:sp macro="" textlink="">
      <cdr:nvSpPr>
        <cdr:cNvPr id="4" name="テキスト ボックス 3"/>
        <cdr:cNvSpPr txBox="1"/>
      </cdr:nvSpPr>
      <cdr:spPr>
        <a:xfrm xmlns:a="http://schemas.openxmlformats.org/drawingml/2006/main">
          <a:off x="85725" y="390524"/>
          <a:ext cx="8001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a:t>
          </a:r>
          <a:r>
            <a:rPr lang="ja-JP" altLang="en-US" sz="800"/>
            <a:t>百万米ドル</a:t>
          </a:r>
          <a:r>
            <a:rPr lang="en-US" altLang="ja-JP" sz="800"/>
            <a:t>)</a:t>
          </a:r>
          <a:endParaRPr lang="ja-JP" altLang="en-US" sz="800"/>
        </a:p>
      </cdr:txBody>
    </cdr:sp>
  </cdr:relSizeAnchor>
</c:userShapes>
</file>

<file path=word/drawings/drawing5.xml><?xml version="1.0" encoding="utf-8"?>
<c:userShapes xmlns:c="http://schemas.openxmlformats.org/drawingml/2006/chart">
  <cdr:relSizeAnchor xmlns:cdr="http://schemas.openxmlformats.org/drawingml/2006/chartDrawing">
    <cdr:from>
      <cdr:x>0.02083</cdr:x>
      <cdr:y>0.11806</cdr:y>
    </cdr:from>
    <cdr:to>
      <cdr:x>0.20833</cdr:x>
      <cdr:y>0.21875</cdr:y>
    </cdr:to>
    <cdr:sp macro="" textlink="">
      <cdr:nvSpPr>
        <cdr:cNvPr id="2" name="テキスト ボックス 1"/>
        <cdr:cNvSpPr txBox="1"/>
      </cdr:nvSpPr>
      <cdr:spPr>
        <a:xfrm xmlns:a="http://schemas.openxmlformats.org/drawingml/2006/main">
          <a:off x="95250" y="323850"/>
          <a:ext cx="85725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a:t>
          </a:r>
          <a:r>
            <a:rPr lang="ja-JP" altLang="en-US" sz="800"/>
            <a:t>百万米ドル）</a:t>
          </a:r>
        </a:p>
      </cdr:txBody>
    </cdr:sp>
  </cdr:relSizeAnchor>
  <cdr:relSizeAnchor xmlns:cdr="http://schemas.openxmlformats.org/drawingml/2006/chartDrawing">
    <cdr:from>
      <cdr:x>0.22292</cdr:x>
      <cdr:y>0.89931</cdr:y>
    </cdr:from>
    <cdr:to>
      <cdr:x>0.34375</cdr:x>
      <cdr:y>0.96875</cdr:y>
    </cdr:to>
    <cdr:sp macro="" textlink="">
      <cdr:nvSpPr>
        <cdr:cNvPr id="3" name="テキスト ボックス 2"/>
        <cdr:cNvSpPr txBox="1"/>
      </cdr:nvSpPr>
      <cdr:spPr>
        <a:xfrm xmlns:a="http://schemas.openxmlformats.org/drawingml/2006/main">
          <a:off x="1019175" y="2466976"/>
          <a:ext cx="5524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Exports</a:t>
          </a:r>
          <a:endParaRPr lang="ja-JP" altLang="en-US" sz="800"/>
        </a:p>
      </cdr:txBody>
    </cdr:sp>
  </cdr:relSizeAnchor>
  <cdr:relSizeAnchor xmlns:cdr="http://schemas.openxmlformats.org/drawingml/2006/chartDrawing">
    <cdr:from>
      <cdr:x>0.43958</cdr:x>
      <cdr:y>0.89931</cdr:y>
    </cdr:from>
    <cdr:to>
      <cdr:x>0.56458</cdr:x>
      <cdr:y>0.96875</cdr:y>
    </cdr:to>
    <cdr:sp macro="" textlink="">
      <cdr:nvSpPr>
        <cdr:cNvPr id="4" name="テキスト ボックス 3"/>
        <cdr:cNvSpPr txBox="1"/>
      </cdr:nvSpPr>
      <cdr:spPr>
        <a:xfrm xmlns:a="http://schemas.openxmlformats.org/drawingml/2006/main">
          <a:off x="2009775" y="2466975"/>
          <a:ext cx="5715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Imports</a:t>
          </a:r>
          <a:endParaRPr lang="ja-JP" altLang="en-US" sz="800"/>
        </a:p>
      </cdr:txBody>
    </cdr:sp>
  </cdr:relSizeAnchor>
  <cdr:relSizeAnchor xmlns:cdr="http://schemas.openxmlformats.org/drawingml/2006/chartDrawing">
    <cdr:from>
      <cdr:x>0.61875</cdr:x>
      <cdr:y>0.90278</cdr:y>
    </cdr:from>
    <cdr:to>
      <cdr:x>0.8125</cdr:x>
      <cdr:y>0.96528</cdr:y>
    </cdr:to>
    <cdr:sp macro="" textlink="">
      <cdr:nvSpPr>
        <cdr:cNvPr id="5" name="テキスト ボックス 4"/>
        <cdr:cNvSpPr txBox="1"/>
      </cdr:nvSpPr>
      <cdr:spPr>
        <a:xfrm xmlns:a="http://schemas.openxmlformats.org/drawingml/2006/main">
          <a:off x="2828925" y="2476500"/>
          <a:ext cx="885825"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Trade Balance</a:t>
          </a:r>
          <a:endParaRPr lang="ja-JP" altLang="en-US" sz="800"/>
        </a:p>
      </cdr:txBody>
    </cdr:sp>
  </cdr:relSizeAnchor>
</c:userShapes>
</file>

<file path=word/drawings/drawing6.xml><?xml version="1.0" encoding="utf-8"?>
<c:userShapes xmlns:c="http://schemas.openxmlformats.org/drawingml/2006/chart">
  <cdr:relSizeAnchor xmlns:cdr="http://schemas.openxmlformats.org/drawingml/2006/chartDrawing">
    <cdr:from>
      <cdr:x>0.42292</cdr:x>
      <cdr:y>0.89931</cdr:y>
    </cdr:from>
    <cdr:to>
      <cdr:x>0.55208</cdr:x>
      <cdr:y>0.97222</cdr:y>
    </cdr:to>
    <cdr:sp macro="" textlink="">
      <cdr:nvSpPr>
        <cdr:cNvPr id="2" name="テキスト ボックス 1"/>
        <cdr:cNvSpPr txBox="1"/>
      </cdr:nvSpPr>
      <cdr:spPr>
        <a:xfrm xmlns:a="http://schemas.openxmlformats.org/drawingml/2006/main">
          <a:off x="1933575" y="2466975"/>
          <a:ext cx="59055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Imports</a:t>
          </a:r>
          <a:endParaRPr lang="ja-JP" altLang="en-US" sz="800"/>
        </a:p>
      </cdr:txBody>
    </cdr:sp>
  </cdr:relSizeAnchor>
  <cdr:relSizeAnchor xmlns:cdr="http://schemas.openxmlformats.org/drawingml/2006/chartDrawing">
    <cdr:from>
      <cdr:x>0.58958</cdr:x>
      <cdr:y>0.90278</cdr:y>
    </cdr:from>
    <cdr:to>
      <cdr:x>0.77083</cdr:x>
      <cdr:y>0.96528</cdr:y>
    </cdr:to>
    <cdr:sp macro="" textlink="">
      <cdr:nvSpPr>
        <cdr:cNvPr id="3" name="テキスト ボックス 2"/>
        <cdr:cNvSpPr txBox="1"/>
      </cdr:nvSpPr>
      <cdr:spPr>
        <a:xfrm xmlns:a="http://schemas.openxmlformats.org/drawingml/2006/main">
          <a:off x="2695575" y="2476500"/>
          <a:ext cx="828675"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Trade</a:t>
          </a:r>
          <a:r>
            <a:rPr lang="en-US" altLang="ja-JP" sz="800" baseline="0"/>
            <a:t> Balance</a:t>
          </a:r>
          <a:endParaRPr lang="ja-JP" altLang="en-US" sz="800"/>
        </a:p>
      </cdr:txBody>
    </cdr:sp>
  </cdr:relSizeAnchor>
  <cdr:relSizeAnchor xmlns:cdr="http://schemas.openxmlformats.org/drawingml/2006/chartDrawing">
    <cdr:from>
      <cdr:x>0</cdr:x>
      <cdr:y>0.08681</cdr:y>
    </cdr:from>
    <cdr:to>
      <cdr:x>0.16667</cdr:x>
      <cdr:y>0.19444</cdr:y>
    </cdr:to>
    <cdr:sp macro="" textlink="">
      <cdr:nvSpPr>
        <cdr:cNvPr id="4" name="テキスト ボックス 3"/>
        <cdr:cNvSpPr txBox="1"/>
      </cdr:nvSpPr>
      <cdr:spPr>
        <a:xfrm xmlns:a="http://schemas.openxmlformats.org/drawingml/2006/main">
          <a:off x="0" y="238125"/>
          <a:ext cx="7620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a:t>
          </a:r>
          <a:r>
            <a:rPr lang="ja-JP" altLang="en-US" sz="800"/>
            <a:t>百万米ドル</a:t>
          </a:r>
          <a:r>
            <a:rPr lang="en-US" altLang="ja-JP" sz="800"/>
            <a:t>)</a:t>
          </a:r>
          <a:endParaRPr lang="ja-JP" altLang="en-US" sz="800"/>
        </a:p>
      </cdr:txBody>
    </cdr:sp>
  </cdr:relSizeAnchor>
</c:userShapes>
</file>

<file path=word/drawings/drawing7.xml><?xml version="1.0" encoding="utf-8"?>
<c:userShapes xmlns:c="http://schemas.openxmlformats.org/drawingml/2006/chart">
  <cdr:relSizeAnchor xmlns:cdr="http://schemas.openxmlformats.org/drawingml/2006/chartDrawing">
    <cdr:from>
      <cdr:x>0.01667</cdr:x>
      <cdr:y>0.10069</cdr:y>
    </cdr:from>
    <cdr:to>
      <cdr:x>0.19792</cdr:x>
      <cdr:y>0.20139</cdr:y>
    </cdr:to>
    <cdr:sp macro="" textlink="">
      <cdr:nvSpPr>
        <cdr:cNvPr id="2" name="テキスト ボックス 1"/>
        <cdr:cNvSpPr txBox="1"/>
      </cdr:nvSpPr>
      <cdr:spPr>
        <a:xfrm xmlns:a="http://schemas.openxmlformats.org/drawingml/2006/main">
          <a:off x="76200" y="276225"/>
          <a:ext cx="82867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a:t>
          </a:r>
          <a:r>
            <a:rPr lang="ja-JP" altLang="en-US" sz="800"/>
            <a:t>百万米ドル）</a:t>
          </a:r>
        </a:p>
      </cdr:txBody>
    </cdr:sp>
  </cdr:relSizeAnchor>
  <cdr:relSizeAnchor xmlns:cdr="http://schemas.openxmlformats.org/drawingml/2006/chartDrawing">
    <cdr:from>
      <cdr:x>0.22917</cdr:x>
      <cdr:y>0.91667</cdr:y>
    </cdr:from>
    <cdr:to>
      <cdr:x>0.33542</cdr:x>
      <cdr:y>0.97569</cdr:y>
    </cdr:to>
    <cdr:sp macro="" textlink="">
      <cdr:nvSpPr>
        <cdr:cNvPr id="3" name="テキスト ボックス 2"/>
        <cdr:cNvSpPr txBox="1"/>
      </cdr:nvSpPr>
      <cdr:spPr>
        <a:xfrm xmlns:a="http://schemas.openxmlformats.org/drawingml/2006/main">
          <a:off x="1047750" y="2514600"/>
          <a:ext cx="48577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900"/>
            <a:t>2010</a:t>
          </a:r>
          <a:endParaRPr lang="ja-JP" altLang="en-US" sz="900"/>
        </a:p>
      </cdr:txBody>
    </cdr:sp>
  </cdr:relSizeAnchor>
  <cdr:relSizeAnchor xmlns:cdr="http://schemas.openxmlformats.org/drawingml/2006/chartDrawing">
    <cdr:from>
      <cdr:x>0.43542</cdr:x>
      <cdr:y>0.91319</cdr:y>
    </cdr:from>
    <cdr:to>
      <cdr:x>0.53958</cdr:x>
      <cdr:y>0.98958</cdr:y>
    </cdr:to>
    <cdr:sp macro="" textlink="">
      <cdr:nvSpPr>
        <cdr:cNvPr id="4" name="テキスト ボックス 3"/>
        <cdr:cNvSpPr txBox="1"/>
      </cdr:nvSpPr>
      <cdr:spPr>
        <a:xfrm xmlns:a="http://schemas.openxmlformats.org/drawingml/2006/main">
          <a:off x="1990725" y="2505075"/>
          <a:ext cx="47625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900"/>
            <a:t>2011</a:t>
          </a:r>
          <a:endParaRPr lang="ja-JP" altLang="en-US" sz="900"/>
        </a:p>
      </cdr:txBody>
    </cdr:sp>
  </cdr:relSizeAnchor>
  <cdr:relSizeAnchor xmlns:cdr="http://schemas.openxmlformats.org/drawingml/2006/chartDrawing">
    <cdr:from>
      <cdr:x>0.65833</cdr:x>
      <cdr:y>0.90625</cdr:y>
    </cdr:from>
    <cdr:to>
      <cdr:x>0.76458</cdr:x>
      <cdr:y>0.97917</cdr:y>
    </cdr:to>
    <cdr:sp macro="" textlink="">
      <cdr:nvSpPr>
        <cdr:cNvPr id="5" name="テキスト ボックス 4"/>
        <cdr:cNvSpPr txBox="1"/>
      </cdr:nvSpPr>
      <cdr:spPr>
        <a:xfrm xmlns:a="http://schemas.openxmlformats.org/drawingml/2006/main">
          <a:off x="3009900" y="2486025"/>
          <a:ext cx="4857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900"/>
            <a:t>2012</a:t>
          </a:r>
          <a:endParaRPr lang="ja-JP" altLang="en-US" sz="900"/>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0.14236</cdr:y>
    </cdr:from>
    <cdr:to>
      <cdr:x>0.16042</cdr:x>
      <cdr:y>0.22917</cdr:y>
    </cdr:to>
    <cdr:sp macro="" textlink="">
      <cdr:nvSpPr>
        <cdr:cNvPr id="2" name="テキスト ボックス 1"/>
        <cdr:cNvSpPr txBox="1"/>
      </cdr:nvSpPr>
      <cdr:spPr>
        <a:xfrm xmlns:a="http://schemas.openxmlformats.org/drawingml/2006/main">
          <a:off x="0" y="390525"/>
          <a:ext cx="7334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a:t>
          </a:r>
          <a:r>
            <a:rPr lang="ja-JP" altLang="en-US" sz="800"/>
            <a:t>百万米ドル</a:t>
          </a:r>
          <a:r>
            <a:rPr lang="en-US" altLang="ja-JP" sz="800"/>
            <a:t>)</a:t>
          </a:r>
          <a:endParaRPr lang="ja-JP" altLang="en-US" sz="800"/>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0.04861</cdr:y>
    </cdr:from>
    <cdr:to>
      <cdr:x>0.15105</cdr:x>
      <cdr:y>0.13542</cdr:y>
    </cdr:to>
    <cdr:sp macro="" textlink="">
      <cdr:nvSpPr>
        <cdr:cNvPr id="2" name="テキスト ボックス 1"/>
        <cdr:cNvSpPr txBox="1"/>
      </cdr:nvSpPr>
      <cdr:spPr>
        <a:xfrm xmlns:a="http://schemas.openxmlformats.org/drawingml/2006/main">
          <a:off x="0" y="133350"/>
          <a:ext cx="7524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t>(</a:t>
          </a:r>
          <a:r>
            <a:rPr lang="ja-JP" altLang="en-US" sz="800"/>
            <a:t>百万米ドル</a:t>
          </a:r>
          <a:r>
            <a:rPr lang="en-US" altLang="ja-JP" sz="800"/>
            <a:t>)</a:t>
          </a:r>
          <a:endParaRPr lang="ja-JP" altLang="en-US" sz="8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FFD5B-9351-427B-876F-8EEDDFBD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358</Words>
  <Characters>2047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２０１２年３月経済統計（出典：ホンジュラス中央銀行）</vt:lpstr>
      <vt:lpstr>２０１２年３月経済統計（出典：ホンジュラス中央銀行）</vt:lpstr>
    </vt:vector>
  </TitlesOfParts>
  <Company>外務省</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２０１２年３月経済統計（出典：ホンジュラス中央銀行）</dc:title>
  <dc:creator>外務省</dc:creator>
  <cp:lastModifiedBy>IWAMI</cp:lastModifiedBy>
  <cp:revision>2</cp:revision>
  <cp:lastPrinted>2013-05-09T22:45:00Z</cp:lastPrinted>
  <dcterms:created xsi:type="dcterms:W3CDTF">2013-05-15T12:08:00Z</dcterms:created>
  <dcterms:modified xsi:type="dcterms:W3CDTF">2013-05-15T12:08:00Z</dcterms:modified>
</cp:coreProperties>
</file>